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92F61" w14:textId="60C6F986" w:rsidR="00EB4AFE" w:rsidRDefault="00EB4AFE" w:rsidP="002867E5">
      <w:pPr>
        <w:pStyle w:val="Title"/>
      </w:pPr>
      <w:r>
        <w:t xml:space="preserve">EVIDENCE for </w:t>
      </w:r>
      <w:proofErr w:type="spellStart"/>
      <w:r>
        <w:t>FRCSorth</w:t>
      </w:r>
      <w:proofErr w:type="spellEnd"/>
    </w:p>
    <w:p w14:paraId="74F4BE74" w14:textId="77777777" w:rsidR="00EB4AFE" w:rsidRDefault="00EB4AFE" w:rsidP="00EB4AFE">
      <w:pPr>
        <w:pStyle w:val="Heading2"/>
      </w:pPr>
      <w:r w:rsidRPr="00EB4AFE">
        <w:t>CMCJ OA Treatment</w:t>
      </w:r>
    </w:p>
    <w:p w14:paraId="09CEB48A" w14:textId="07B43FAE" w:rsidR="00D90D5B" w:rsidRDefault="00D90D5B" w:rsidP="00D90D5B">
      <w:r>
        <w:t>J Hand Surgery</w:t>
      </w:r>
      <w:r w:rsidR="00A17AB5">
        <w:tab/>
      </w:r>
      <w:r w:rsidR="00A17AB5">
        <w:rPr>
          <w:i/>
          <w:lang w:val="en-US"/>
        </w:rPr>
        <w:t>Davis et al</w:t>
      </w:r>
      <w:r w:rsidR="00A17AB5">
        <w:rPr>
          <w:lang w:val="en-US"/>
        </w:rPr>
        <w:tab/>
      </w:r>
      <w:r w:rsidR="00A17AB5">
        <w:t>1</w:t>
      </w:r>
      <w:r>
        <w:t>997</w:t>
      </w:r>
    </w:p>
    <w:p w14:paraId="28FB9D1A" w14:textId="77777777" w:rsidR="00A17AB5" w:rsidRDefault="00A17AB5" w:rsidP="00D90D5B"/>
    <w:p w14:paraId="6C3B63B2" w14:textId="77777777" w:rsidR="00EB4AFE" w:rsidRDefault="00EB4AFE" w:rsidP="00EB4AFE">
      <w:pPr>
        <w:rPr>
          <w:b/>
          <w:lang w:val="en-US"/>
        </w:rPr>
      </w:pPr>
      <w:proofErr w:type="spellStart"/>
      <w:r w:rsidRPr="00EB4AFE">
        <w:rPr>
          <w:b/>
          <w:lang w:val="en-US"/>
        </w:rPr>
        <w:t>Trapeziectomy</w:t>
      </w:r>
      <w:proofErr w:type="spellEnd"/>
      <w:r w:rsidRPr="00EB4AFE">
        <w:rPr>
          <w:b/>
          <w:lang w:val="en-US"/>
        </w:rPr>
        <w:t xml:space="preserve"> alone, with tendon interposition or with ligament reconstruction</w:t>
      </w:r>
      <w:proofErr w:type="gramStart"/>
      <w:r w:rsidRPr="00EB4AFE">
        <w:rPr>
          <w:b/>
          <w:lang w:val="en-US"/>
        </w:rPr>
        <w:t>?:</w:t>
      </w:r>
      <w:proofErr w:type="gramEnd"/>
      <w:r w:rsidRPr="00EB4AFE">
        <w:rPr>
          <w:b/>
          <w:lang w:val="en-US"/>
        </w:rPr>
        <w:t xml:space="preserve"> A randomized prospective study</w:t>
      </w:r>
    </w:p>
    <w:p w14:paraId="0EA51141" w14:textId="77777777" w:rsidR="00A17AB5" w:rsidRDefault="00A17AB5" w:rsidP="00A17AB5"/>
    <w:p w14:paraId="63AA13DA" w14:textId="6D939A44" w:rsidR="00A17AB5" w:rsidRPr="00A17AB5" w:rsidRDefault="00A17AB5" w:rsidP="00EB4AFE">
      <w:r>
        <w:t>No difference in pain relief, hand function and thumb strength.</w:t>
      </w:r>
    </w:p>
    <w:p w14:paraId="75F521D8" w14:textId="77777777" w:rsidR="00EB4AFE" w:rsidRDefault="00EB4AFE" w:rsidP="00A17AB5">
      <w:pPr>
        <w:pStyle w:val="Heading2"/>
      </w:pPr>
      <w:r>
        <w:t>Carpal Tunnel Release</w:t>
      </w:r>
    </w:p>
    <w:p w14:paraId="69B20687" w14:textId="01D6DC20" w:rsidR="00EB4AFE" w:rsidRPr="00EB4AFE" w:rsidRDefault="00A17AB5" w:rsidP="00EB4AFE">
      <w:pPr>
        <w:rPr>
          <w:lang w:val="en-US"/>
        </w:rPr>
      </w:pPr>
      <w:r w:rsidRPr="00EB4AFE">
        <w:rPr>
          <w:lang w:val="en-US"/>
        </w:rPr>
        <w:t>BMJ</w:t>
      </w:r>
      <w:r>
        <w:rPr>
          <w:lang w:val="en-US"/>
        </w:rPr>
        <w:tab/>
      </w:r>
      <w:proofErr w:type="spellStart"/>
      <w:r w:rsidR="00EB4AFE" w:rsidRPr="00EB4AFE">
        <w:rPr>
          <w:lang w:val="en-US"/>
        </w:rPr>
        <w:t>Atroshi</w:t>
      </w:r>
      <w:proofErr w:type="spellEnd"/>
      <w:r w:rsidR="00EB4AFE" w:rsidRPr="00EB4AFE">
        <w:rPr>
          <w:lang w:val="en-US"/>
        </w:rPr>
        <w:t xml:space="preserve"> et al.</w:t>
      </w:r>
      <w:r>
        <w:rPr>
          <w:lang w:val="en-US"/>
        </w:rPr>
        <w:tab/>
      </w:r>
      <w:r w:rsidR="00EB4AFE" w:rsidRPr="00EB4AFE">
        <w:rPr>
          <w:lang w:val="en-US"/>
        </w:rPr>
        <w:t>2006</w:t>
      </w:r>
    </w:p>
    <w:p w14:paraId="4D7A69F4" w14:textId="77777777" w:rsidR="00A17AB5" w:rsidRDefault="00A17AB5" w:rsidP="00EB4AFE">
      <w:pPr>
        <w:rPr>
          <w:lang w:val="en-US"/>
        </w:rPr>
      </w:pPr>
    </w:p>
    <w:p w14:paraId="4553FEC8" w14:textId="77777777" w:rsidR="00EB4AFE" w:rsidRPr="00EB4AFE" w:rsidRDefault="00EB4AFE" w:rsidP="00EB4AFE">
      <w:pPr>
        <w:rPr>
          <w:lang w:val="en-US"/>
        </w:rPr>
      </w:pPr>
      <w:r w:rsidRPr="00EB4AFE">
        <w:rPr>
          <w:lang w:val="en-US"/>
        </w:rPr>
        <w:t xml:space="preserve">Outcomes of endoscopic </w:t>
      </w:r>
      <w:proofErr w:type="spellStart"/>
      <w:r w:rsidRPr="00EB4AFE">
        <w:rPr>
          <w:lang w:val="en-US"/>
        </w:rPr>
        <w:t>comapred</w:t>
      </w:r>
      <w:proofErr w:type="spellEnd"/>
      <w:r w:rsidRPr="00EB4AFE">
        <w:rPr>
          <w:lang w:val="en-US"/>
        </w:rPr>
        <w:t xml:space="preserve"> with open surgery for carpal tunnel syndrome</w:t>
      </w:r>
    </w:p>
    <w:p w14:paraId="47839B1F" w14:textId="77777777" w:rsidR="00EB4AFE" w:rsidRDefault="00EB4AFE" w:rsidP="00EB4AFE"/>
    <w:p w14:paraId="1EE2C377" w14:textId="77777777" w:rsidR="00EB4AFE" w:rsidRDefault="00EB4AFE" w:rsidP="00A17AB5">
      <w:pPr>
        <w:pStyle w:val="Heading2"/>
      </w:pPr>
      <w:r>
        <w:t>Radial Nerve Palsy with Humeral Fracture</w:t>
      </w:r>
    </w:p>
    <w:p w14:paraId="6C3F8E5A" w14:textId="39C1B958" w:rsidR="00A17AB5" w:rsidRPr="00A17AB5" w:rsidRDefault="00A17AB5" w:rsidP="00A17AB5">
      <w:proofErr w:type="gramStart"/>
      <w:r w:rsidRPr="00A17AB5">
        <w:rPr>
          <w:lang w:val="en-US"/>
        </w:rPr>
        <w:t xml:space="preserve">J Bone Joint </w:t>
      </w:r>
      <w:proofErr w:type="spellStart"/>
      <w:r w:rsidRPr="00A17AB5">
        <w:rPr>
          <w:lang w:val="en-US"/>
        </w:rPr>
        <w:t>Surg</w:t>
      </w:r>
      <w:proofErr w:type="spellEnd"/>
      <w:r w:rsidRPr="00A17AB5">
        <w:rPr>
          <w:lang w:val="en-US"/>
        </w:rPr>
        <w:t xml:space="preserve"> Br.</w:t>
      </w:r>
      <w:proofErr w:type="gramEnd"/>
      <w:r w:rsidRPr="00A17AB5">
        <w:rPr>
          <w:lang w:val="en-US"/>
        </w:rPr>
        <w:t xml:space="preserve"> </w:t>
      </w:r>
      <w:r w:rsidRPr="00A17AB5">
        <w:rPr>
          <w:lang w:val="en-US"/>
        </w:rPr>
        <w:tab/>
      </w:r>
      <w:r>
        <w:rPr>
          <w:lang w:val="en-US"/>
        </w:rPr>
        <w:tab/>
      </w:r>
      <w:bookmarkStart w:id="0" w:name="OLE_LINK3"/>
      <w:bookmarkStart w:id="1" w:name="OLE_LINK4"/>
      <w:bookmarkStart w:id="2" w:name="_GoBack"/>
      <w:proofErr w:type="spellStart"/>
      <w:r w:rsidRPr="00A17AB5">
        <w:rPr>
          <w:lang w:val="en-US"/>
        </w:rPr>
        <w:t>Giannoudis</w:t>
      </w:r>
      <w:bookmarkEnd w:id="0"/>
      <w:bookmarkEnd w:id="1"/>
      <w:bookmarkEnd w:id="2"/>
      <w:proofErr w:type="spellEnd"/>
      <w:r w:rsidRPr="00A17AB5">
        <w:rPr>
          <w:lang w:val="en-US"/>
        </w:rPr>
        <w:t xml:space="preserve"> et al</w:t>
      </w:r>
      <w:r w:rsidRPr="00A17AB5">
        <w:rPr>
          <w:lang w:val="en-US"/>
        </w:rPr>
        <w:tab/>
        <w:t>2005</w:t>
      </w:r>
    </w:p>
    <w:p w14:paraId="4589DF06" w14:textId="77777777" w:rsidR="00F31BBD" w:rsidRDefault="00F31BBD" w:rsidP="00EB4AFE">
      <w:pPr>
        <w:rPr>
          <w:b/>
          <w:bCs/>
          <w:lang w:val="en-US"/>
        </w:rPr>
      </w:pPr>
    </w:p>
    <w:p w14:paraId="7C715F7A" w14:textId="77777777" w:rsidR="00EB4AFE" w:rsidRDefault="00EB4AFE" w:rsidP="00EB4AFE">
      <w:pPr>
        <w:rPr>
          <w:lang w:val="en-US"/>
        </w:rPr>
      </w:pPr>
      <w:r w:rsidRPr="00EB4AFE">
        <w:rPr>
          <w:b/>
          <w:bCs/>
          <w:lang w:val="en-US"/>
        </w:rPr>
        <w:t xml:space="preserve">Radial nerve palsy associated with fractures of the shaft of the </w:t>
      </w:r>
      <w:proofErr w:type="spellStart"/>
      <w:r w:rsidRPr="00EB4AFE">
        <w:rPr>
          <w:b/>
          <w:bCs/>
          <w:lang w:val="en-US"/>
        </w:rPr>
        <w:t>humerus</w:t>
      </w:r>
      <w:proofErr w:type="spellEnd"/>
      <w:r w:rsidRPr="00EB4AFE">
        <w:rPr>
          <w:b/>
          <w:bCs/>
          <w:lang w:val="en-US"/>
        </w:rPr>
        <w:t> </w:t>
      </w:r>
      <w:r w:rsidRPr="00EB4AFE">
        <w:rPr>
          <w:lang w:val="en-US"/>
        </w:rPr>
        <w:t>A SYSTEMATIC REVIEW</w:t>
      </w:r>
    </w:p>
    <w:p w14:paraId="20DC5729" w14:textId="77777777" w:rsidR="00F31BBD" w:rsidRDefault="00F31BBD" w:rsidP="00EB4AFE">
      <w:pPr>
        <w:rPr>
          <w:lang w:val="en-US"/>
        </w:rPr>
      </w:pPr>
    </w:p>
    <w:p w14:paraId="00BA030F" w14:textId="71AB3F6C" w:rsidR="00EB4AFE" w:rsidRDefault="00F31BBD" w:rsidP="00EB4AFE">
      <w:r w:rsidRPr="00F31BBD">
        <w:rPr>
          <w:bCs/>
          <w:lang w:val="en-US"/>
        </w:rPr>
        <w:t xml:space="preserve">There was </w:t>
      </w:r>
      <w:r w:rsidRPr="002E362B">
        <w:rPr>
          <w:bCs/>
          <w:lang w:val="en-US"/>
        </w:rPr>
        <w:t>no significant difference in</w:t>
      </w:r>
      <w:r w:rsidRPr="00F31BBD">
        <w:rPr>
          <w:bCs/>
          <w:lang w:val="en-US"/>
        </w:rPr>
        <w:t xml:space="preserve"> the final results when comparing </w:t>
      </w:r>
      <w:proofErr w:type="gramStart"/>
      <w:r w:rsidRPr="00F31BBD">
        <w:rPr>
          <w:bCs/>
          <w:lang w:val="en-US"/>
        </w:rPr>
        <w:t>groups which were initially managed expectantly with those</w:t>
      </w:r>
      <w:proofErr w:type="gramEnd"/>
      <w:r w:rsidRPr="00F31BBD">
        <w:rPr>
          <w:bCs/>
          <w:lang w:val="en-US"/>
        </w:rPr>
        <w:t xml:space="preserve"> explored early, suggesting that the </w:t>
      </w:r>
      <w:r w:rsidRPr="002E362B">
        <w:rPr>
          <w:b/>
          <w:bCs/>
          <w:lang w:val="en-US"/>
        </w:rPr>
        <w:t>initial expectant treatment did not affect the extent of nerve recovery adversely and would avoid many unnecessary operations</w:t>
      </w:r>
      <w:r w:rsidRPr="00F31BBD">
        <w:rPr>
          <w:bCs/>
          <w:lang w:val="en-US"/>
        </w:rPr>
        <w:t>.</w:t>
      </w:r>
    </w:p>
    <w:p w14:paraId="7B1407D3" w14:textId="77777777" w:rsidR="00EB4AFE" w:rsidRDefault="00CF3208" w:rsidP="00F31BBD">
      <w:pPr>
        <w:pStyle w:val="Heading2"/>
      </w:pPr>
      <w:r>
        <w:t>Scaphoid Fracture</w:t>
      </w:r>
    </w:p>
    <w:p w14:paraId="4A7D1E64" w14:textId="77777777" w:rsidR="00CF3208" w:rsidRDefault="00CF3208" w:rsidP="00EB4AFE"/>
    <w:p w14:paraId="3D03C78F" w14:textId="2FF00DD5" w:rsidR="00CF3208" w:rsidRDefault="00CF3208" w:rsidP="00EB4AFE">
      <w:r>
        <w:t>JBJS</w:t>
      </w:r>
      <w:r w:rsidR="00F31BBD">
        <w:tab/>
      </w:r>
      <w:r w:rsidR="00F31BBD">
        <w:tab/>
        <w:t>McQueen et al</w:t>
      </w:r>
      <w:r w:rsidR="00F31BBD">
        <w:tab/>
      </w:r>
      <w:r>
        <w:t>2008</w:t>
      </w:r>
    </w:p>
    <w:p w14:paraId="550B7BA2" w14:textId="77777777" w:rsidR="00CF3208" w:rsidRDefault="00CF3208" w:rsidP="00EB4AFE"/>
    <w:p w14:paraId="3492E904" w14:textId="77777777" w:rsidR="00CF3208" w:rsidRPr="002E362B" w:rsidRDefault="00CF3208" w:rsidP="00EB4AFE">
      <w:pPr>
        <w:rPr>
          <w:b/>
        </w:rPr>
      </w:pPr>
      <w:r>
        <w:t xml:space="preserve">Percutaneous </w:t>
      </w:r>
      <w:proofErr w:type="spellStart"/>
      <w:r>
        <w:t>vs</w:t>
      </w:r>
      <w:proofErr w:type="spellEnd"/>
      <w:r>
        <w:t xml:space="preserve"> </w:t>
      </w:r>
      <w:proofErr w:type="gramStart"/>
      <w:r>
        <w:t>Closed</w:t>
      </w:r>
      <w:proofErr w:type="gramEnd"/>
      <w:r>
        <w:t xml:space="preserve"> management of Waist fracture – </w:t>
      </w:r>
      <w:r w:rsidRPr="002E362B">
        <w:rPr>
          <w:b/>
        </w:rPr>
        <w:t>early return to work 9.2wks and 13.4</w:t>
      </w:r>
    </w:p>
    <w:p w14:paraId="03021F44" w14:textId="77777777" w:rsidR="00CF3208" w:rsidRDefault="00CF3208" w:rsidP="00EB4AFE"/>
    <w:p w14:paraId="3E7206CD" w14:textId="77777777" w:rsidR="002E362B" w:rsidRDefault="002E362B" w:rsidP="00EB4AFE"/>
    <w:p w14:paraId="03761AE5" w14:textId="15881FBF" w:rsidR="00CF3208" w:rsidRDefault="00CF3208" w:rsidP="00EB4AFE">
      <w:r>
        <w:t>JBJS</w:t>
      </w:r>
      <w:r w:rsidR="002E362B">
        <w:t xml:space="preserve"> Br</w:t>
      </w:r>
      <w:r w:rsidR="002E362B">
        <w:tab/>
      </w:r>
      <w:r w:rsidR="002E362B">
        <w:tab/>
      </w:r>
      <w:r w:rsidR="002E362B" w:rsidRPr="002E362B">
        <w:t xml:space="preserve"> </w:t>
      </w:r>
      <w:r w:rsidR="002E362B">
        <w:t xml:space="preserve">J Dias et al </w:t>
      </w:r>
      <w:r w:rsidR="002E362B">
        <w:tab/>
        <w:t xml:space="preserve"> 2008</w:t>
      </w:r>
    </w:p>
    <w:p w14:paraId="64F27698" w14:textId="77777777" w:rsidR="00CF3208" w:rsidRDefault="00CF3208" w:rsidP="00EB4AFE"/>
    <w:p w14:paraId="44BC86EA" w14:textId="77777777" w:rsidR="00CF3208" w:rsidRDefault="00CF3208" w:rsidP="00EB4AFE">
      <w:r>
        <w:t xml:space="preserve">Clinical and radiological outcome – acute </w:t>
      </w:r>
      <w:r w:rsidR="009775B5">
        <w:t>scaphoid fracture – 93 months</w:t>
      </w:r>
    </w:p>
    <w:p w14:paraId="0F90AA88" w14:textId="77777777" w:rsidR="009775B5" w:rsidRPr="002E362B" w:rsidRDefault="009775B5" w:rsidP="00EB4AFE">
      <w:pPr>
        <w:rPr>
          <w:b/>
        </w:rPr>
      </w:pPr>
      <w:r w:rsidRPr="002E362B">
        <w:rPr>
          <w:b/>
        </w:rPr>
        <w:t>NO DIFFERENCE</w:t>
      </w:r>
    </w:p>
    <w:p w14:paraId="3BEAEFFC" w14:textId="77777777" w:rsidR="009775B5" w:rsidRDefault="009775B5" w:rsidP="00EB4AFE"/>
    <w:p w14:paraId="3240B2E7" w14:textId="771C1BAF" w:rsidR="002E362B" w:rsidRDefault="002E362B" w:rsidP="002E362B">
      <w:pPr>
        <w:pStyle w:val="Heading2"/>
        <w:rPr>
          <w:u w:color="262626"/>
          <w:lang w:val="en-US"/>
        </w:rPr>
      </w:pPr>
      <w:r>
        <w:rPr>
          <w:u w:color="262626"/>
          <w:lang w:val="en-US"/>
        </w:rPr>
        <w:t xml:space="preserve">Reverse Shoulder </w:t>
      </w:r>
      <w:proofErr w:type="spellStart"/>
      <w:r>
        <w:rPr>
          <w:u w:color="262626"/>
          <w:lang w:val="en-US"/>
        </w:rPr>
        <w:t>Arthroplasty</w:t>
      </w:r>
      <w:proofErr w:type="spellEnd"/>
    </w:p>
    <w:p w14:paraId="7C40CC66" w14:textId="1195CC3F" w:rsidR="00022885" w:rsidRDefault="002E362B" w:rsidP="00022885">
      <w:pPr>
        <w:widowControl w:val="0"/>
        <w:autoSpaceDE w:val="0"/>
        <w:autoSpaceDN w:val="0"/>
        <w:adjustRightInd w:val="0"/>
        <w:rPr>
          <w:rFonts w:cs="Arial"/>
          <w:szCs w:val="22"/>
          <w:lang w:val="en-US"/>
        </w:rPr>
      </w:pPr>
      <w:r w:rsidRPr="002E362B">
        <w:rPr>
          <w:rFonts w:cs="Arial"/>
          <w:color w:val="262626"/>
          <w:szCs w:val="22"/>
          <w:lang w:val="en-US"/>
        </w:rPr>
        <w:t xml:space="preserve">JBJS </w:t>
      </w:r>
      <w:r w:rsidR="00022885" w:rsidRPr="002E362B">
        <w:rPr>
          <w:rFonts w:cs="Arial"/>
          <w:color w:val="262626"/>
          <w:szCs w:val="22"/>
          <w:lang w:val="en-US"/>
        </w:rPr>
        <w:t>Am</w:t>
      </w:r>
      <w:r w:rsidRPr="002E362B">
        <w:rPr>
          <w:rFonts w:cs="Arial"/>
          <w:color w:val="262626"/>
          <w:szCs w:val="22"/>
          <w:lang w:val="en-US"/>
        </w:rPr>
        <w:tab/>
        <w:t>Cuff et al</w:t>
      </w:r>
      <w:r w:rsidRPr="002E362B">
        <w:rPr>
          <w:rFonts w:cs="Arial"/>
          <w:color w:val="262626"/>
          <w:szCs w:val="22"/>
          <w:lang w:val="en-US"/>
        </w:rPr>
        <w:tab/>
      </w:r>
      <w:r w:rsidR="00022885" w:rsidRPr="002E362B">
        <w:rPr>
          <w:rFonts w:cs="Arial"/>
          <w:szCs w:val="22"/>
          <w:lang w:val="en-US"/>
        </w:rPr>
        <w:t xml:space="preserve">2008 </w:t>
      </w:r>
    </w:p>
    <w:p w14:paraId="3B7E8367" w14:textId="77777777" w:rsidR="002E362B" w:rsidRDefault="002E362B" w:rsidP="00022885">
      <w:pPr>
        <w:widowControl w:val="0"/>
        <w:autoSpaceDE w:val="0"/>
        <w:autoSpaceDN w:val="0"/>
        <w:adjustRightInd w:val="0"/>
        <w:rPr>
          <w:rFonts w:cs="Arial"/>
          <w:szCs w:val="22"/>
          <w:lang w:val="en-US"/>
        </w:rPr>
      </w:pPr>
    </w:p>
    <w:p w14:paraId="13B7F5E5" w14:textId="77777777" w:rsidR="002E362B" w:rsidRPr="002E362B" w:rsidRDefault="002E362B" w:rsidP="002E362B">
      <w:pPr>
        <w:widowControl w:val="0"/>
        <w:autoSpaceDE w:val="0"/>
        <w:autoSpaceDN w:val="0"/>
        <w:adjustRightInd w:val="0"/>
        <w:rPr>
          <w:rFonts w:cs="Arial"/>
          <w:szCs w:val="22"/>
          <w:lang w:val="en-US"/>
        </w:rPr>
      </w:pPr>
      <w:r w:rsidRPr="002E362B">
        <w:rPr>
          <w:rFonts w:cs="Arial"/>
          <w:szCs w:val="22"/>
          <w:lang w:val="en-US"/>
        </w:rPr>
        <w:t xml:space="preserve">Recent advances in reverse shoulder </w:t>
      </w:r>
      <w:proofErr w:type="spellStart"/>
      <w:r w:rsidRPr="002E362B">
        <w:rPr>
          <w:rFonts w:cs="Arial"/>
          <w:szCs w:val="22"/>
          <w:lang w:val="en-US"/>
        </w:rPr>
        <w:t>arthroplasty</w:t>
      </w:r>
      <w:proofErr w:type="spellEnd"/>
      <w:r w:rsidRPr="002E362B">
        <w:rPr>
          <w:rFonts w:cs="Arial"/>
          <w:szCs w:val="22"/>
          <w:lang w:val="en-US"/>
        </w:rPr>
        <w:t xml:space="preserve"> have allowed for improvement in patient outcomes while minimizing early mechanical failure and scapular notching and decreasing the overall complication rate at short-term follow-up.</w:t>
      </w:r>
    </w:p>
    <w:p w14:paraId="1A9380BB" w14:textId="77777777" w:rsidR="00022885" w:rsidRDefault="00022885" w:rsidP="0094551E">
      <w:pPr>
        <w:pStyle w:val="Heading2"/>
        <w:rPr>
          <w:lang w:val="en-US"/>
        </w:rPr>
      </w:pPr>
      <w:r>
        <w:rPr>
          <w:lang w:val="en-US"/>
        </w:rPr>
        <w:t>Exeter THR</w:t>
      </w:r>
    </w:p>
    <w:p w14:paraId="27BE4B2B" w14:textId="787B32B3" w:rsidR="00022885" w:rsidRPr="007D7A94" w:rsidRDefault="009D660E" w:rsidP="000228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lang w:val="en-US"/>
        </w:rPr>
      </w:pPr>
      <w:r w:rsidRPr="007D7A94">
        <w:rPr>
          <w:rFonts w:ascii="Cambria" w:hAnsi="Cambria" w:cs="Cambria"/>
          <w:b/>
          <w:lang w:val="en-US"/>
        </w:rPr>
        <w:t xml:space="preserve">Clinical </w:t>
      </w:r>
      <w:proofErr w:type="spellStart"/>
      <w:r w:rsidRPr="007D7A94">
        <w:rPr>
          <w:rFonts w:ascii="Cambria" w:hAnsi="Cambria" w:cs="Cambria"/>
          <w:b/>
          <w:lang w:val="en-US"/>
        </w:rPr>
        <w:t>Orthopaedics</w:t>
      </w:r>
      <w:proofErr w:type="spellEnd"/>
      <w:r w:rsidRPr="007D7A94">
        <w:rPr>
          <w:rFonts w:ascii="Cambria" w:hAnsi="Cambria" w:cs="Cambria"/>
          <w:b/>
          <w:lang w:val="en-US"/>
        </w:rPr>
        <w:t xml:space="preserve"> Related Research </w:t>
      </w:r>
      <w:r w:rsidRPr="007D7A94">
        <w:rPr>
          <w:rFonts w:ascii="Cambria" w:hAnsi="Cambria" w:cs="Cambria"/>
          <w:b/>
          <w:lang w:val="en-US"/>
        </w:rPr>
        <w:tab/>
      </w:r>
      <w:proofErr w:type="spellStart"/>
      <w:r w:rsidRPr="007D7A94">
        <w:rPr>
          <w:rFonts w:ascii="Cambria" w:hAnsi="Cambria" w:cs="Cambria"/>
          <w:b/>
          <w:lang w:val="en-US"/>
        </w:rPr>
        <w:t>Lewthwaite</w:t>
      </w:r>
      <w:proofErr w:type="spellEnd"/>
      <w:r w:rsidRPr="007D7A94">
        <w:rPr>
          <w:rFonts w:ascii="Cambria" w:hAnsi="Cambria" w:cs="Cambria"/>
          <w:b/>
          <w:lang w:val="en-US"/>
        </w:rPr>
        <w:t xml:space="preserve"> et al</w:t>
      </w:r>
      <w:r w:rsidRPr="007D7A94">
        <w:rPr>
          <w:rFonts w:ascii="Cambria" w:hAnsi="Cambria" w:cs="Cambria"/>
          <w:b/>
          <w:lang w:val="en-US"/>
        </w:rPr>
        <w:tab/>
        <w:t>2008</w:t>
      </w:r>
    </w:p>
    <w:p w14:paraId="2954F969" w14:textId="77777777" w:rsidR="009D660E" w:rsidRDefault="009D660E" w:rsidP="0094551E">
      <w:pPr>
        <w:rPr>
          <w:lang w:val="en-US"/>
        </w:rPr>
      </w:pPr>
    </w:p>
    <w:p w14:paraId="4A56842A" w14:textId="77777777" w:rsidR="00022885" w:rsidRDefault="00022885" w:rsidP="0094551E">
      <w:pPr>
        <w:rPr>
          <w:lang w:val="en-US"/>
        </w:rPr>
      </w:pPr>
      <w:r>
        <w:rPr>
          <w:lang w:val="en-US"/>
        </w:rPr>
        <w:t xml:space="preserve">THE EXETER UNIVERSAL HIP REPLACEMENT FOR THE YOUNG PATIENT – 10 TO 17 YEARS </w:t>
      </w:r>
      <w:proofErr w:type="gramStart"/>
      <w:r>
        <w:rPr>
          <w:lang w:val="en-US"/>
        </w:rPr>
        <w:t>FOLLOW</w:t>
      </w:r>
      <w:proofErr w:type="gramEnd"/>
      <w:r>
        <w:rPr>
          <w:lang w:val="en-US"/>
        </w:rPr>
        <w:t xml:space="preserve"> UP.</w:t>
      </w:r>
    </w:p>
    <w:p w14:paraId="1EF8463E" w14:textId="77777777" w:rsidR="009D660E" w:rsidRDefault="009D660E" w:rsidP="000228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jc w:val="both"/>
        <w:rPr>
          <w:rFonts w:ascii="Verdana" w:hAnsi="Verdana" w:cs="Verdana"/>
          <w:b/>
          <w:bCs/>
          <w:color w:val="312A2A"/>
          <w:sz w:val="20"/>
          <w:szCs w:val="20"/>
          <w:lang w:val="en-US"/>
        </w:rPr>
      </w:pPr>
    </w:p>
    <w:p w14:paraId="5691B0FF" w14:textId="762906D6" w:rsidR="00022885" w:rsidRPr="000D08CF" w:rsidRDefault="00022885" w:rsidP="000228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jc w:val="both"/>
        <w:rPr>
          <w:rFonts w:cs="Verdana"/>
          <w:b/>
          <w:color w:val="312A2A"/>
          <w:lang w:val="en-US"/>
        </w:rPr>
      </w:pPr>
      <w:r w:rsidRPr="000D08CF">
        <w:rPr>
          <w:rFonts w:cs="Verdana"/>
          <w:b/>
          <w:color w:val="312A2A"/>
          <w:lang w:val="en-US"/>
        </w:rPr>
        <w:lastRenderedPageBreak/>
        <w:t>Survivorship of stem and cup from all causes was 92.7%, at an average of 12.5 years. Survivorship of stem only from all causes was 99% and from aseptic loosening was 100%.</w:t>
      </w:r>
    </w:p>
    <w:p w14:paraId="58E3F97E" w14:textId="6AE8F39E" w:rsidR="0021317E" w:rsidRPr="007D7A94" w:rsidRDefault="00022885" w:rsidP="000228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jc w:val="both"/>
        <w:rPr>
          <w:rFonts w:cs="Verdana"/>
          <w:color w:val="312A2A"/>
          <w:lang w:val="en-US"/>
        </w:rPr>
      </w:pPr>
      <w:r w:rsidRPr="000D08CF">
        <w:rPr>
          <w:rFonts w:cs="Verdana"/>
          <w:b/>
          <w:bCs/>
          <w:color w:val="312A2A"/>
          <w:lang w:val="en-US"/>
        </w:rPr>
        <w:t>Conclusion:</w:t>
      </w:r>
      <w:r w:rsidRPr="000D08CF">
        <w:rPr>
          <w:rFonts w:cs="Verdana"/>
          <w:color w:val="312A2A"/>
          <w:lang w:val="en-US"/>
        </w:rPr>
        <w:t xml:space="preserve"> The Exeter Universal Stem is shown to perform extremely well in the younger patient. No femoral component became loose and only 9 </w:t>
      </w:r>
      <w:proofErr w:type="spellStart"/>
      <w:r w:rsidRPr="000D08CF">
        <w:rPr>
          <w:rFonts w:cs="Verdana"/>
          <w:color w:val="312A2A"/>
          <w:lang w:val="en-US"/>
        </w:rPr>
        <w:t>acetabular</w:t>
      </w:r>
      <w:proofErr w:type="spellEnd"/>
      <w:r w:rsidRPr="000D08CF">
        <w:rPr>
          <w:rFonts w:cs="Verdana"/>
          <w:color w:val="312A2A"/>
          <w:lang w:val="en-US"/>
        </w:rPr>
        <w:t xml:space="preserve"> components were revised for aseptic loosening</w:t>
      </w:r>
    </w:p>
    <w:p w14:paraId="1E117C22" w14:textId="77777777" w:rsidR="007D7A94" w:rsidRDefault="007D7A94" w:rsidP="0021317E">
      <w:pPr>
        <w:widowControl w:val="0"/>
        <w:autoSpaceDE w:val="0"/>
        <w:autoSpaceDN w:val="0"/>
        <w:adjustRightInd w:val="0"/>
        <w:rPr>
          <w:rFonts w:cs="Arial"/>
          <w:b/>
          <w:color w:val="262626"/>
          <w:lang w:val="en-US"/>
        </w:rPr>
      </w:pPr>
    </w:p>
    <w:p w14:paraId="6FB84891" w14:textId="2B8D3C16" w:rsidR="0021317E" w:rsidRPr="007D7A94" w:rsidRDefault="009D660E" w:rsidP="0021317E">
      <w:pPr>
        <w:widowControl w:val="0"/>
        <w:autoSpaceDE w:val="0"/>
        <w:autoSpaceDN w:val="0"/>
        <w:adjustRightInd w:val="0"/>
        <w:rPr>
          <w:rFonts w:cs="Arial"/>
          <w:b/>
          <w:lang w:val="en-US"/>
        </w:rPr>
      </w:pPr>
      <w:r w:rsidRPr="007D7A94">
        <w:rPr>
          <w:rFonts w:cs="Arial"/>
          <w:b/>
          <w:color w:val="262626"/>
          <w:lang w:val="en-US"/>
        </w:rPr>
        <w:t>JBJS</w:t>
      </w:r>
      <w:r w:rsidR="0021317E" w:rsidRPr="007D7A94">
        <w:rPr>
          <w:rFonts w:cs="Arial"/>
          <w:b/>
          <w:color w:val="262626"/>
          <w:lang w:val="en-US"/>
        </w:rPr>
        <w:t xml:space="preserve"> Br.</w:t>
      </w:r>
      <w:r w:rsidR="0021317E" w:rsidRPr="007D7A94">
        <w:rPr>
          <w:rFonts w:cs="Arial"/>
          <w:b/>
          <w:lang w:val="en-US"/>
        </w:rPr>
        <w:t xml:space="preserve"> </w:t>
      </w:r>
      <w:r w:rsidRPr="007D7A94">
        <w:rPr>
          <w:rFonts w:cs="Arial"/>
          <w:b/>
          <w:lang w:val="en-US"/>
        </w:rPr>
        <w:t xml:space="preserve"> </w:t>
      </w:r>
      <w:r w:rsidR="000D08CF" w:rsidRPr="007D7A94">
        <w:rPr>
          <w:rFonts w:cs="Arial"/>
          <w:b/>
          <w:lang w:val="en-US"/>
        </w:rPr>
        <w:tab/>
      </w:r>
      <w:r w:rsidRPr="007D7A94">
        <w:rPr>
          <w:rFonts w:cs="Arial"/>
          <w:b/>
          <w:lang w:val="en-US"/>
        </w:rPr>
        <w:t>Carrington et al</w:t>
      </w:r>
      <w:r w:rsidRPr="007D7A94">
        <w:rPr>
          <w:rFonts w:cs="Arial"/>
          <w:b/>
          <w:lang w:val="en-US"/>
        </w:rPr>
        <w:tab/>
      </w:r>
      <w:r w:rsidR="000D08CF" w:rsidRPr="007D7A94">
        <w:rPr>
          <w:rFonts w:cs="Arial"/>
          <w:b/>
          <w:lang w:val="en-US"/>
        </w:rPr>
        <w:tab/>
      </w:r>
      <w:r w:rsidR="0021317E" w:rsidRPr="007D7A94">
        <w:rPr>
          <w:rFonts w:cs="Arial"/>
          <w:b/>
          <w:lang w:val="en-US"/>
        </w:rPr>
        <w:t xml:space="preserve">2009 </w:t>
      </w:r>
    </w:p>
    <w:p w14:paraId="05D6D762" w14:textId="77777777" w:rsidR="007D7A94" w:rsidRDefault="007D7A94" w:rsidP="0021317E">
      <w:pPr>
        <w:widowControl w:val="0"/>
        <w:autoSpaceDE w:val="0"/>
        <w:autoSpaceDN w:val="0"/>
        <w:adjustRightInd w:val="0"/>
        <w:rPr>
          <w:rFonts w:ascii="Arial" w:hAnsi="Arial" w:cs="Arial"/>
          <w:sz w:val="21"/>
          <w:szCs w:val="21"/>
          <w:u w:color="262626"/>
          <w:lang w:val="en-US"/>
        </w:rPr>
      </w:pPr>
    </w:p>
    <w:p w14:paraId="0BC4DB64" w14:textId="77777777" w:rsidR="0021317E" w:rsidRDefault="0021317E" w:rsidP="000D08CF">
      <w:pPr>
        <w:rPr>
          <w:u w:color="262626"/>
          <w:lang w:val="en-US"/>
        </w:rPr>
      </w:pPr>
      <w:r>
        <w:rPr>
          <w:u w:color="262626"/>
          <w:lang w:val="en-US"/>
        </w:rPr>
        <w:t>The Exeter Universal cemented femoral component at 15 to 17 years: an update on the first 325 hips.</w:t>
      </w:r>
    </w:p>
    <w:p w14:paraId="122F879D" w14:textId="77777777" w:rsidR="0021317E" w:rsidRDefault="0021317E" w:rsidP="0021317E">
      <w:pPr>
        <w:widowControl w:val="0"/>
        <w:autoSpaceDE w:val="0"/>
        <w:autoSpaceDN w:val="0"/>
        <w:adjustRightInd w:val="0"/>
        <w:rPr>
          <w:rFonts w:ascii="Arial" w:hAnsi="Arial" w:cs="Arial"/>
          <w:b/>
          <w:bCs/>
          <w:color w:val="262626"/>
          <w:sz w:val="28"/>
          <w:szCs w:val="28"/>
          <w:u w:color="262626"/>
          <w:lang w:val="en-US"/>
        </w:rPr>
      </w:pPr>
    </w:p>
    <w:p w14:paraId="44723EB1" w14:textId="51DB6442" w:rsidR="0021317E" w:rsidRPr="000D08CF" w:rsidRDefault="000D08CF" w:rsidP="0021317E">
      <w:pPr>
        <w:widowControl w:val="0"/>
        <w:autoSpaceDE w:val="0"/>
        <w:autoSpaceDN w:val="0"/>
        <w:adjustRightInd w:val="0"/>
        <w:rPr>
          <w:rFonts w:cs="Arial"/>
          <w:b/>
          <w:u w:color="262626"/>
          <w:lang w:val="en-US"/>
        </w:rPr>
      </w:pPr>
      <w:r w:rsidRPr="000D08CF">
        <w:rPr>
          <w:rFonts w:cs="Arial"/>
          <w:b/>
          <w:u w:color="262626"/>
          <w:lang w:val="en-US"/>
        </w:rPr>
        <w:t xml:space="preserve">With an endpoint of revision for aseptic loosening, the survivorship at 17 years was 100% and 90.4% for the femoral and </w:t>
      </w:r>
      <w:proofErr w:type="spellStart"/>
      <w:r w:rsidRPr="000D08CF">
        <w:rPr>
          <w:rFonts w:cs="Arial"/>
          <w:b/>
          <w:u w:color="262626"/>
          <w:lang w:val="en-US"/>
        </w:rPr>
        <w:t>acetabular</w:t>
      </w:r>
      <w:proofErr w:type="spellEnd"/>
      <w:r w:rsidRPr="000D08CF">
        <w:rPr>
          <w:rFonts w:cs="Arial"/>
          <w:b/>
          <w:u w:color="262626"/>
          <w:lang w:val="en-US"/>
        </w:rPr>
        <w:t xml:space="preserve"> component, respectively.</w:t>
      </w:r>
    </w:p>
    <w:p w14:paraId="6A420443" w14:textId="77777777" w:rsidR="00022885" w:rsidRDefault="00022885" w:rsidP="000228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jc w:val="both"/>
        <w:rPr>
          <w:rFonts w:ascii="Verdana" w:hAnsi="Verdana" w:cs="Verdana"/>
          <w:color w:val="312A2A"/>
          <w:sz w:val="20"/>
          <w:szCs w:val="20"/>
          <w:lang w:val="en-US"/>
        </w:rPr>
      </w:pPr>
    </w:p>
    <w:p w14:paraId="38A4ED4E" w14:textId="242257F0" w:rsidR="009354C7" w:rsidRPr="009354C7" w:rsidRDefault="009354C7" w:rsidP="002D7F8E">
      <w:pPr>
        <w:pStyle w:val="Heading2"/>
        <w:rPr>
          <w:color w:val="C0504D" w:themeColor="accent2"/>
          <w:sz w:val="30"/>
          <w:lang w:val="en-US"/>
        </w:rPr>
      </w:pPr>
      <w:r w:rsidRPr="009354C7">
        <w:rPr>
          <w:color w:val="C0504D" w:themeColor="accent2"/>
          <w:sz w:val="30"/>
          <w:lang w:val="en-US"/>
        </w:rPr>
        <w:t>NJR – Exeter V40/Contemporary MOP – 10 years CPP 3.21%  (COP 2.6%)</w:t>
      </w:r>
    </w:p>
    <w:p w14:paraId="43A935CE" w14:textId="69206D59" w:rsidR="009354C7" w:rsidRPr="009354C7" w:rsidRDefault="009354C7" w:rsidP="009354C7">
      <w:pPr>
        <w:rPr>
          <w:b/>
          <w:color w:val="C0504D" w:themeColor="accent2"/>
          <w:sz w:val="28"/>
        </w:rPr>
      </w:pPr>
      <w:r w:rsidRPr="009354C7">
        <w:rPr>
          <w:b/>
          <w:color w:val="C0504D" w:themeColor="accent2"/>
          <w:sz w:val="28"/>
        </w:rPr>
        <w:t xml:space="preserve">NJR – MRK – 10 </w:t>
      </w:r>
      <w:proofErr w:type="spellStart"/>
      <w:r w:rsidRPr="009354C7">
        <w:rPr>
          <w:b/>
          <w:color w:val="C0504D" w:themeColor="accent2"/>
          <w:sz w:val="28"/>
        </w:rPr>
        <w:t>yrs</w:t>
      </w:r>
      <w:proofErr w:type="spellEnd"/>
      <w:r w:rsidRPr="009354C7">
        <w:rPr>
          <w:b/>
          <w:color w:val="C0504D" w:themeColor="accent2"/>
          <w:sz w:val="28"/>
        </w:rPr>
        <w:t xml:space="preserve"> CPP 2.96%</w:t>
      </w:r>
    </w:p>
    <w:p w14:paraId="47FA51C9" w14:textId="7526F8C3" w:rsidR="009354C7" w:rsidRPr="009354C7" w:rsidRDefault="009354C7" w:rsidP="009354C7">
      <w:pPr>
        <w:rPr>
          <w:b/>
          <w:color w:val="C0504D" w:themeColor="accent2"/>
          <w:sz w:val="28"/>
        </w:rPr>
      </w:pPr>
      <w:r w:rsidRPr="009354C7">
        <w:rPr>
          <w:b/>
          <w:color w:val="C0504D" w:themeColor="accent2"/>
          <w:sz w:val="28"/>
        </w:rPr>
        <w:t>NJR – Columbus – 7yrs CPP 3.27</w:t>
      </w:r>
    </w:p>
    <w:p w14:paraId="4D81F003" w14:textId="77777777" w:rsidR="009354C7" w:rsidRPr="009354C7" w:rsidRDefault="009354C7" w:rsidP="009354C7"/>
    <w:p w14:paraId="79BAE369" w14:textId="77777777" w:rsidR="00022885" w:rsidRDefault="00022885" w:rsidP="002D7F8E">
      <w:pPr>
        <w:pStyle w:val="Heading2"/>
        <w:rPr>
          <w:lang w:val="en-US"/>
        </w:rPr>
      </w:pPr>
      <w:r>
        <w:rPr>
          <w:lang w:val="en-US"/>
        </w:rPr>
        <w:t>The incidence of secondary pathology after anterior cruciate ligament rupture in 5086 patients requiring ligament reconstruction</w:t>
      </w:r>
    </w:p>
    <w:p w14:paraId="566A3D0B" w14:textId="04A46A7D" w:rsidR="00022885" w:rsidRDefault="002D7F8E" w:rsidP="002D7F8E">
      <w:pPr>
        <w:widowControl w:val="0"/>
        <w:numPr>
          <w:ilvl w:val="0"/>
          <w:numId w:val="1"/>
        </w:numPr>
        <w:tabs>
          <w:tab w:val="left" w:pos="220"/>
          <w:tab w:val="left" w:pos="720"/>
        </w:tabs>
        <w:autoSpaceDE w:val="0"/>
        <w:autoSpaceDN w:val="0"/>
        <w:adjustRightInd w:val="0"/>
        <w:ind w:hanging="720"/>
        <w:rPr>
          <w:rFonts w:ascii="Verdana" w:hAnsi="Verdana" w:cs="Verdana"/>
          <w:b/>
          <w:bCs/>
          <w:color w:val="312A2A"/>
          <w:sz w:val="32"/>
          <w:szCs w:val="32"/>
          <w:lang w:val="en-US"/>
        </w:rPr>
      </w:pPr>
      <w:r>
        <w:t>JBJS Br (Bone Joint J)</w:t>
      </w:r>
      <w:r>
        <w:tab/>
      </w:r>
      <w:r>
        <w:tab/>
        <w:t>Sri Ram et al</w:t>
      </w:r>
      <w:r>
        <w:tab/>
      </w:r>
      <w:r>
        <w:tab/>
        <w:t>2013</w:t>
      </w:r>
    </w:p>
    <w:p w14:paraId="3295EA85" w14:textId="77777777" w:rsidR="002D7F8E" w:rsidRDefault="002D7F8E" w:rsidP="002D7F8E">
      <w:pPr>
        <w:widowControl w:val="0"/>
        <w:numPr>
          <w:ilvl w:val="0"/>
          <w:numId w:val="1"/>
        </w:numPr>
        <w:tabs>
          <w:tab w:val="left" w:pos="220"/>
          <w:tab w:val="left" w:pos="720"/>
        </w:tabs>
        <w:autoSpaceDE w:val="0"/>
        <w:autoSpaceDN w:val="0"/>
        <w:adjustRightInd w:val="0"/>
        <w:ind w:hanging="720"/>
        <w:rPr>
          <w:rFonts w:ascii="Verdana" w:hAnsi="Verdana" w:cs="Verdana"/>
          <w:b/>
          <w:bCs/>
          <w:color w:val="312A2A"/>
          <w:sz w:val="32"/>
          <w:szCs w:val="32"/>
          <w:lang w:val="en-US"/>
        </w:rPr>
      </w:pPr>
    </w:p>
    <w:p w14:paraId="4B621D66" w14:textId="77777777" w:rsidR="002D7F8E" w:rsidRDefault="00022885" w:rsidP="00681C3A">
      <w:pPr>
        <w:pStyle w:val="NoSpacing"/>
        <w:numPr>
          <w:ilvl w:val="0"/>
          <w:numId w:val="6"/>
        </w:numPr>
        <w:rPr>
          <w:lang w:val="en-US"/>
        </w:rPr>
      </w:pPr>
      <w:r>
        <w:rPr>
          <w:lang w:val="en-US"/>
        </w:rPr>
        <w:t>5086 patients with a mean age of 30 years</w:t>
      </w:r>
    </w:p>
    <w:p w14:paraId="3786036C" w14:textId="77777777" w:rsidR="00681C3A" w:rsidRDefault="002D7F8E" w:rsidP="00681C3A">
      <w:pPr>
        <w:pStyle w:val="NoSpacing"/>
        <w:numPr>
          <w:ilvl w:val="0"/>
          <w:numId w:val="6"/>
        </w:numPr>
        <w:rPr>
          <w:lang w:val="en-US"/>
        </w:rPr>
      </w:pPr>
      <w:proofErr w:type="gramStart"/>
      <w:r>
        <w:rPr>
          <w:lang w:val="en-US"/>
        </w:rPr>
        <w:t>surgery</w:t>
      </w:r>
      <w:proofErr w:type="gramEnd"/>
      <w:r>
        <w:rPr>
          <w:lang w:val="en-US"/>
        </w:rPr>
        <w:t xml:space="preserve"> delay &gt;12 months </w:t>
      </w:r>
      <w:r w:rsidR="00681C3A">
        <w:rPr>
          <w:lang w:val="en-US"/>
        </w:rPr>
        <w:t>–</w:t>
      </w:r>
      <w:r>
        <w:rPr>
          <w:lang w:val="en-US"/>
        </w:rPr>
        <w:t xml:space="preserve"> </w:t>
      </w:r>
      <w:r w:rsidR="00681C3A">
        <w:rPr>
          <w:lang w:val="en-US"/>
        </w:rPr>
        <w:t xml:space="preserve">double medial meniscal and </w:t>
      </w:r>
      <w:proofErr w:type="spellStart"/>
      <w:r w:rsidR="00681C3A">
        <w:rPr>
          <w:lang w:val="en-US"/>
        </w:rPr>
        <w:t>chondral</w:t>
      </w:r>
      <w:proofErr w:type="spellEnd"/>
      <w:r w:rsidR="00681C3A">
        <w:rPr>
          <w:lang w:val="en-US"/>
        </w:rPr>
        <w:t xml:space="preserve"> injury</w:t>
      </w:r>
    </w:p>
    <w:p w14:paraId="44B4B3DA" w14:textId="4BFCC0E0" w:rsidR="00022885" w:rsidRPr="00056C95" w:rsidRDefault="00022885" w:rsidP="00681C3A">
      <w:pPr>
        <w:pStyle w:val="NoSpacing"/>
        <w:numPr>
          <w:ilvl w:val="0"/>
          <w:numId w:val="6"/>
        </w:numPr>
        <w:rPr>
          <w:b/>
          <w:lang w:val="en-US"/>
        </w:rPr>
      </w:pPr>
      <w:r w:rsidRPr="00056C95">
        <w:rPr>
          <w:b/>
          <w:lang w:val="en-US"/>
        </w:rPr>
        <w:t>We conclude that ideally, and particularly in younger patients, ACL reconstruction should not be delayed more than five months from injury.</w:t>
      </w:r>
    </w:p>
    <w:p w14:paraId="0A9600BC" w14:textId="77777777" w:rsidR="00022885" w:rsidRDefault="00022885" w:rsidP="00022885"/>
    <w:p w14:paraId="5A7EB1A0" w14:textId="77777777" w:rsidR="00022885" w:rsidRDefault="00022885" w:rsidP="00681C3A">
      <w:pPr>
        <w:pStyle w:val="Heading2"/>
        <w:rPr>
          <w:u w:color="262626"/>
          <w:lang w:val="en-US"/>
        </w:rPr>
      </w:pPr>
      <w:proofErr w:type="gramStart"/>
      <w:r>
        <w:rPr>
          <w:u w:color="262626"/>
          <w:lang w:val="en-US"/>
        </w:rPr>
        <w:t xml:space="preserve">Proximal </w:t>
      </w:r>
      <w:proofErr w:type="spellStart"/>
      <w:r>
        <w:rPr>
          <w:u w:color="262626"/>
          <w:lang w:val="en-US"/>
        </w:rPr>
        <w:t>tibial</w:t>
      </w:r>
      <w:proofErr w:type="spellEnd"/>
      <w:r>
        <w:rPr>
          <w:u w:color="262626"/>
          <w:lang w:val="en-US"/>
        </w:rPr>
        <w:t xml:space="preserve"> osteotomy.</w:t>
      </w:r>
      <w:proofErr w:type="gramEnd"/>
      <w:r>
        <w:rPr>
          <w:u w:color="262626"/>
          <w:lang w:val="en-US"/>
        </w:rPr>
        <w:t xml:space="preserve"> </w:t>
      </w:r>
      <w:proofErr w:type="gramStart"/>
      <w:r>
        <w:rPr>
          <w:u w:color="262626"/>
          <w:lang w:val="en-US"/>
        </w:rPr>
        <w:t>A critical long-term study of eighty-seven cases.</w:t>
      </w:r>
      <w:proofErr w:type="gramEnd"/>
    </w:p>
    <w:p w14:paraId="1DD36088" w14:textId="77777777" w:rsidR="00681C3A" w:rsidRDefault="00681C3A" w:rsidP="00022885">
      <w:pPr>
        <w:widowControl w:val="0"/>
        <w:autoSpaceDE w:val="0"/>
        <w:autoSpaceDN w:val="0"/>
        <w:adjustRightInd w:val="0"/>
      </w:pPr>
      <w:r>
        <w:t>JBJS Am</w:t>
      </w:r>
      <w:r>
        <w:tab/>
      </w:r>
      <w:r>
        <w:tab/>
        <w:t>Coventry et al</w:t>
      </w:r>
      <w:r>
        <w:tab/>
      </w:r>
      <w:r>
        <w:tab/>
        <w:t>1993</w:t>
      </w:r>
    </w:p>
    <w:p w14:paraId="40EDD0C7" w14:textId="77777777" w:rsidR="00022885" w:rsidRDefault="00022885" w:rsidP="00022885">
      <w:pPr>
        <w:widowControl w:val="0"/>
        <w:autoSpaceDE w:val="0"/>
        <w:autoSpaceDN w:val="0"/>
        <w:adjustRightInd w:val="0"/>
        <w:rPr>
          <w:rFonts w:ascii="Arial" w:hAnsi="Arial" w:cs="Arial"/>
          <w:b/>
          <w:bCs/>
          <w:color w:val="262626"/>
          <w:sz w:val="28"/>
          <w:szCs w:val="28"/>
          <w:u w:color="262626"/>
          <w:lang w:val="en-US"/>
        </w:rPr>
      </w:pPr>
    </w:p>
    <w:p w14:paraId="0BDB9496" w14:textId="77777777" w:rsidR="00681C3A" w:rsidRPr="00681C3A" w:rsidRDefault="00681C3A" w:rsidP="00681C3A">
      <w:pPr>
        <w:pStyle w:val="ListParagraph"/>
        <w:numPr>
          <w:ilvl w:val="0"/>
          <w:numId w:val="7"/>
        </w:numPr>
        <w:rPr>
          <w:rFonts w:cs="Arial"/>
          <w:u w:color="262626"/>
          <w:lang w:val="en-US"/>
        </w:rPr>
      </w:pPr>
      <w:r w:rsidRPr="00681C3A">
        <w:rPr>
          <w:rFonts w:cs="Arial"/>
          <w:u w:color="262626"/>
          <w:lang w:val="en-US"/>
        </w:rPr>
        <w:t xml:space="preserve">One year post op - </w:t>
      </w:r>
      <w:r w:rsidR="00022885" w:rsidRPr="00681C3A">
        <w:rPr>
          <w:rFonts w:cs="Arial"/>
          <w:u w:color="262626"/>
          <w:lang w:val="en-US"/>
        </w:rPr>
        <w:t xml:space="preserve">valgus angulation </w:t>
      </w:r>
      <w:r w:rsidRPr="00681C3A">
        <w:rPr>
          <w:rFonts w:cs="Arial"/>
          <w:u w:color="262626"/>
          <w:lang w:val="en-US"/>
        </w:rPr>
        <w:t>&gt;</w:t>
      </w:r>
      <w:r w:rsidR="00022885" w:rsidRPr="00681C3A">
        <w:rPr>
          <w:rFonts w:cs="Arial"/>
          <w:u w:color="262626"/>
          <w:lang w:val="en-US"/>
        </w:rPr>
        <w:t>8 degrees</w:t>
      </w:r>
      <w:r w:rsidRPr="00681C3A">
        <w:rPr>
          <w:rFonts w:cs="Arial"/>
          <w:u w:color="262626"/>
          <w:lang w:val="en-US"/>
        </w:rPr>
        <w:t xml:space="preserve"> and weight &lt;</w:t>
      </w:r>
      <w:r w:rsidR="00022885" w:rsidRPr="00681C3A">
        <w:rPr>
          <w:rFonts w:cs="Arial"/>
          <w:u w:color="262626"/>
          <w:lang w:val="en-US"/>
        </w:rPr>
        <w:t xml:space="preserve">1.32 </w:t>
      </w:r>
      <w:r w:rsidRPr="00681C3A">
        <w:rPr>
          <w:rFonts w:cs="Arial"/>
          <w:u w:color="262626"/>
          <w:lang w:val="en-US"/>
        </w:rPr>
        <w:t xml:space="preserve">times the ideal weight - </w:t>
      </w:r>
      <w:r w:rsidR="00022885" w:rsidRPr="00681C3A">
        <w:rPr>
          <w:rFonts w:cs="Arial"/>
          <w:u w:color="262626"/>
          <w:lang w:val="en-US"/>
        </w:rPr>
        <w:t xml:space="preserve">survival </w:t>
      </w:r>
      <w:r w:rsidRPr="00681C3A">
        <w:rPr>
          <w:rFonts w:cs="Arial"/>
          <w:u w:color="262626"/>
          <w:lang w:val="en-US"/>
        </w:rPr>
        <w:t>5yrs</w:t>
      </w:r>
      <w:r w:rsidR="00022885" w:rsidRPr="00681C3A">
        <w:rPr>
          <w:rFonts w:cs="Arial"/>
          <w:u w:color="262626"/>
          <w:lang w:val="en-US"/>
        </w:rPr>
        <w:t xml:space="preserve"> </w:t>
      </w:r>
      <w:r w:rsidRPr="00681C3A">
        <w:rPr>
          <w:rFonts w:cs="Arial"/>
          <w:u w:color="262626"/>
          <w:lang w:val="en-US"/>
        </w:rPr>
        <w:t>=</w:t>
      </w:r>
      <w:r w:rsidR="00022885" w:rsidRPr="00681C3A">
        <w:rPr>
          <w:rFonts w:cs="Arial"/>
          <w:u w:color="262626"/>
          <w:lang w:val="en-US"/>
        </w:rPr>
        <w:t xml:space="preserve"> 90</w:t>
      </w:r>
      <w:r w:rsidRPr="00681C3A">
        <w:rPr>
          <w:rFonts w:cs="Arial"/>
          <w:u w:color="262626"/>
          <w:lang w:val="en-US"/>
        </w:rPr>
        <w:t>%and 10yrs = 65 per cent</w:t>
      </w:r>
    </w:p>
    <w:p w14:paraId="6C4CC270" w14:textId="77777777" w:rsidR="00681C3A" w:rsidRPr="00681C3A" w:rsidRDefault="00681C3A" w:rsidP="00022885">
      <w:pPr>
        <w:rPr>
          <w:rFonts w:cs="Arial"/>
          <w:u w:color="262626"/>
          <w:lang w:val="en-US"/>
        </w:rPr>
      </w:pPr>
    </w:p>
    <w:p w14:paraId="5C7C62F2" w14:textId="77777777" w:rsidR="00681C3A" w:rsidRPr="00681C3A" w:rsidRDefault="00681C3A" w:rsidP="00681C3A">
      <w:pPr>
        <w:pStyle w:val="ListParagraph"/>
        <w:numPr>
          <w:ilvl w:val="0"/>
          <w:numId w:val="7"/>
        </w:numPr>
        <w:rPr>
          <w:rFonts w:cs="Arial"/>
          <w:u w:color="262626"/>
          <w:lang w:val="en-US"/>
        </w:rPr>
      </w:pPr>
      <w:r w:rsidRPr="00681C3A">
        <w:rPr>
          <w:rFonts w:cs="Arial"/>
          <w:u w:color="262626"/>
          <w:lang w:val="en-US"/>
        </w:rPr>
        <w:t xml:space="preserve">One year post op - </w:t>
      </w:r>
      <w:r w:rsidR="00022885" w:rsidRPr="00681C3A">
        <w:rPr>
          <w:rFonts w:cs="Arial"/>
          <w:u w:color="262626"/>
          <w:lang w:val="en-US"/>
        </w:rPr>
        <w:t>valgus angulation</w:t>
      </w:r>
      <w:r w:rsidRPr="00681C3A">
        <w:rPr>
          <w:rFonts w:cs="Arial"/>
          <w:u w:color="262626"/>
          <w:lang w:val="en-US"/>
        </w:rPr>
        <w:t>&lt;</w:t>
      </w:r>
      <w:r w:rsidR="00022885" w:rsidRPr="00681C3A">
        <w:rPr>
          <w:rFonts w:cs="Arial"/>
          <w:u w:color="262626"/>
          <w:lang w:val="en-US"/>
        </w:rPr>
        <w:t xml:space="preserve">8 degrees </w:t>
      </w:r>
      <w:r w:rsidRPr="00681C3A">
        <w:rPr>
          <w:rFonts w:cs="Arial"/>
          <w:u w:color="262626"/>
          <w:lang w:val="en-US"/>
        </w:rPr>
        <w:t xml:space="preserve">and weight &gt;1.32 times the ideal weight – Survival 5y = </w:t>
      </w:r>
      <w:r w:rsidR="00022885" w:rsidRPr="00681C3A">
        <w:rPr>
          <w:rFonts w:cs="Arial"/>
          <w:u w:color="262626"/>
          <w:lang w:val="en-US"/>
        </w:rPr>
        <w:t>38</w:t>
      </w:r>
      <w:r w:rsidRPr="00681C3A">
        <w:rPr>
          <w:rFonts w:cs="Arial"/>
          <w:u w:color="262626"/>
          <w:lang w:val="en-US"/>
        </w:rPr>
        <w:t>% and 10yr =</w:t>
      </w:r>
      <w:r w:rsidR="00022885" w:rsidRPr="00681C3A">
        <w:rPr>
          <w:rFonts w:cs="Arial"/>
          <w:u w:color="262626"/>
          <w:lang w:val="en-US"/>
        </w:rPr>
        <w:t>19</w:t>
      </w:r>
      <w:r w:rsidRPr="00681C3A">
        <w:rPr>
          <w:rFonts w:cs="Arial"/>
          <w:u w:color="262626"/>
          <w:lang w:val="en-US"/>
        </w:rPr>
        <w:t>%</w:t>
      </w:r>
      <w:r w:rsidR="00022885" w:rsidRPr="00681C3A">
        <w:rPr>
          <w:rFonts w:cs="Arial"/>
          <w:u w:color="262626"/>
          <w:lang w:val="en-US"/>
        </w:rPr>
        <w:t xml:space="preserve"> </w:t>
      </w:r>
    </w:p>
    <w:p w14:paraId="5685F675" w14:textId="77777777" w:rsidR="00681C3A" w:rsidRPr="00681C3A" w:rsidRDefault="00681C3A" w:rsidP="00022885">
      <w:pPr>
        <w:rPr>
          <w:rFonts w:cs="Arial"/>
          <w:u w:color="262626"/>
          <w:lang w:val="en-US"/>
        </w:rPr>
      </w:pPr>
    </w:p>
    <w:p w14:paraId="6CB5829A" w14:textId="2AECB91A" w:rsidR="00022885" w:rsidRPr="00681C3A" w:rsidRDefault="00022885" w:rsidP="00681C3A">
      <w:pPr>
        <w:pStyle w:val="ListParagraph"/>
        <w:numPr>
          <w:ilvl w:val="0"/>
          <w:numId w:val="7"/>
        </w:numPr>
        <w:rPr>
          <w:rFonts w:cs="Arial"/>
          <w:b/>
          <w:u w:color="262626"/>
          <w:lang w:val="en-US"/>
        </w:rPr>
      </w:pPr>
      <w:r w:rsidRPr="00681C3A">
        <w:rPr>
          <w:rFonts w:cs="Arial"/>
          <w:b/>
          <w:u w:color="262626"/>
          <w:lang w:val="en-US"/>
        </w:rPr>
        <w:t xml:space="preserve">There is a considerable risk of failure of a proximal </w:t>
      </w:r>
      <w:proofErr w:type="spellStart"/>
      <w:r w:rsidRPr="00681C3A">
        <w:rPr>
          <w:rFonts w:cs="Arial"/>
          <w:b/>
          <w:u w:color="262626"/>
          <w:lang w:val="en-US"/>
        </w:rPr>
        <w:t>tibial</w:t>
      </w:r>
      <w:proofErr w:type="spellEnd"/>
      <w:r w:rsidRPr="00681C3A">
        <w:rPr>
          <w:rFonts w:cs="Arial"/>
          <w:b/>
          <w:u w:color="262626"/>
          <w:lang w:val="en-US"/>
        </w:rPr>
        <w:t xml:space="preserve"> osteotomy if the alignment is not overcorrected to at least 8 degrees of valgus angulation and if the patient is substantially overweight.</w:t>
      </w:r>
    </w:p>
    <w:p w14:paraId="54B85757" w14:textId="77777777" w:rsidR="00022885" w:rsidRDefault="00022885" w:rsidP="00022885">
      <w:pPr>
        <w:rPr>
          <w:rFonts w:ascii="Arial" w:hAnsi="Arial" w:cs="Arial"/>
          <w:sz w:val="26"/>
          <w:szCs w:val="26"/>
          <w:u w:color="262626"/>
          <w:lang w:val="en-US"/>
        </w:rPr>
      </w:pPr>
    </w:p>
    <w:p w14:paraId="79FE4A98" w14:textId="77777777" w:rsidR="00EA559B" w:rsidRDefault="00EA559B" w:rsidP="00681C3A">
      <w:pPr>
        <w:pStyle w:val="Heading2"/>
        <w:rPr>
          <w:u w:color="262626"/>
          <w:lang w:val="en-US"/>
        </w:rPr>
      </w:pPr>
      <w:r>
        <w:rPr>
          <w:u w:color="262626"/>
          <w:lang w:val="en-US"/>
        </w:rPr>
        <w:t xml:space="preserve">Operative compared with </w:t>
      </w:r>
      <w:proofErr w:type="spellStart"/>
      <w:r>
        <w:rPr>
          <w:u w:color="262626"/>
          <w:lang w:val="en-US"/>
        </w:rPr>
        <w:t>nonoperative</w:t>
      </w:r>
      <w:proofErr w:type="spellEnd"/>
      <w:r>
        <w:rPr>
          <w:u w:color="262626"/>
          <w:lang w:val="en-US"/>
        </w:rPr>
        <w:t xml:space="preserve"> treatment of displaced intra-articular calcaneal fractures: a prospective, randomized, controlled multicenter trial.</w:t>
      </w:r>
    </w:p>
    <w:p w14:paraId="6889B8DC" w14:textId="77777777" w:rsidR="00681C3A" w:rsidRDefault="00681C3A" w:rsidP="00EA559B">
      <w:pPr>
        <w:widowControl w:val="0"/>
        <w:autoSpaceDE w:val="0"/>
        <w:autoSpaceDN w:val="0"/>
        <w:adjustRightInd w:val="0"/>
      </w:pPr>
      <w:r>
        <w:t>JBJS Am</w:t>
      </w:r>
      <w:r>
        <w:tab/>
      </w:r>
      <w:r>
        <w:tab/>
        <w:t>Buckley et al</w:t>
      </w:r>
      <w:r>
        <w:tab/>
      </w:r>
      <w:r>
        <w:tab/>
        <w:t>2002</w:t>
      </w:r>
    </w:p>
    <w:p w14:paraId="39A7B725" w14:textId="77777777" w:rsidR="00EA559B" w:rsidRDefault="00EA559B" w:rsidP="00EA559B">
      <w:pPr>
        <w:widowControl w:val="0"/>
        <w:autoSpaceDE w:val="0"/>
        <w:autoSpaceDN w:val="0"/>
        <w:adjustRightInd w:val="0"/>
      </w:pPr>
    </w:p>
    <w:p w14:paraId="06639AAC" w14:textId="79857E80" w:rsidR="004E29EE" w:rsidRDefault="004E29EE" w:rsidP="00EA559B">
      <w:pPr>
        <w:widowControl w:val="0"/>
        <w:autoSpaceDE w:val="0"/>
        <w:autoSpaceDN w:val="0"/>
        <w:adjustRightInd w:val="0"/>
      </w:pPr>
      <w:r>
        <w:t xml:space="preserve">4 trauma </w:t>
      </w:r>
      <w:proofErr w:type="spellStart"/>
      <w:r>
        <w:t>centers</w:t>
      </w:r>
      <w:proofErr w:type="spellEnd"/>
      <w:r>
        <w:t xml:space="preserve"> - 309 intra articular calcaneal fractures – followed up for 2-8 years</w:t>
      </w:r>
    </w:p>
    <w:p w14:paraId="0D30A963" w14:textId="77777777" w:rsidR="004E29EE" w:rsidRDefault="004E29EE" w:rsidP="00EA559B">
      <w:pPr>
        <w:widowControl w:val="0"/>
        <w:autoSpaceDE w:val="0"/>
        <w:autoSpaceDN w:val="0"/>
        <w:adjustRightInd w:val="0"/>
        <w:rPr>
          <w:rFonts w:ascii="Arial" w:hAnsi="Arial" w:cs="Arial"/>
          <w:b/>
          <w:bCs/>
          <w:color w:val="262626"/>
          <w:sz w:val="28"/>
          <w:szCs w:val="28"/>
          <w:u w:color="262626"/>
          <w:lang w:val="en-US"/>
        </w:rPr>
      </w:pPr>
    </w:p>
    <w:p w14:paraId="78DFB548" w14:textId="77777777" w:rsidR="004E29EE" w:rsidRDefault="00EA559B" w:rsidP="00EA559B">
      <w:pPr>
        <w:rPr>
          <w:rFonts w:cs="Arial"/>
          <w:u w:color="262626"/>
          <w:lang w:val="en-US"/>
        </w:rPr>
      </w:pPr>
      <w:r w:rsidRPr="004E29EE">
        <w:rPr>
          <w:rFonts w:cs="Arial"/>
          <w:u w:color="262626"/>
          <w:lang w:val="en-US"/>
        </w:rPr>
        <w:t xml:space="preserve">Without stratification of the groups, the functional results after </w:t>
      </w:r>
      <w:proofErr w:type="spellStart"/>
      <w:r w:rsidRPr="004E29EE">
        <w:rPr>
          <w:rFonts w:cs="Arial"/>
          <w:u w:color="262626"/>
          <w:lang w:val="en-US"/>
        </w:rPr>
        <w:t>nonoperative</w:t>
      </w:r>
      <w:proofErr w:type="spellEnd"/>
      <w:r w:rsidRPr="004E29EE">
        <w:rPr>
          <w:rFonts w:cs="Arial"/>
          <w:u w:color="262626"/>
          <w:lang w:val="en-US"/>
        </w:rPr>
        <w:t xml:space="preserve"> care of displaced intra-articular calcaneal fractures were equivalent</w:t>
      </w:r>
      <w:r w:rsidR="004E29EE">
        <w:rPr>
          <w:rFonts w:cs="Arial"/>
          <w:u w:color="262626"/>
          <w:lang w:val="en-US"/>
        </w:rPr>
        <w:t xml:space="preserve"> to those after operative care</w:t>
      </w:r>
    </w:p>
    <w:p w14:paraId="14CAA824" w14:textId="77777777" w:rsidR="004E29EE" w:rsidRDefault="004E29EE" w:rsidP="00EA559B">
      <w:pPr>
        <w:rPr>
          <w:rFonts w:cs="Arial"/>
          <w:u w:color="262626"/>
          <w:lang w:val="en-US"/>
        </w:rPr>
      </w:pPr>
    </w:p>
    <w:p w14:paraId="1E4FCBC7" w14:textId="74962ECD" w:rsidR="006E3FBD" w:rsidRDefault="004E29EE" w:rsidP="007D7A94">
      <w:pPr>
        <w:rPr>
          <w:rFonts w:cs="Arial"/>
          <w:b/>
          <w:u w:color="262626"/>
          <w:lang w:val="en-US"/>
        </w:rPr>
      </w:pPr>
      <w:r w:rsidRPr="00056C95">
        <w:rPr>
          <w:rFonts w:cs="Arial"/>
          <w:b/>
          <w:u w:color="262626"/>
          <w:lang w:val="en-US"/>
        </w:rPr>
        <w:t>A</w:t>
      </w:r>
      <w:r w:rsidR="00EA559B" w:rsidRPr="00056C95">
        <w:rPr>
          <w:rFonts w:cs="Arial"/>
          <w:b/>
          <w:u w:color="262626"/>
          <w:lang w:val="en-US"/>
        </w:rPr>
        <w:t>fter unmasking the data by removal of the patients who were receiving Workers' Compensation, the outcomes were significantly better in some groups of surgically treated patients.</w:t>
      </w:r>
    </w:p>
    <w:p w14:paraId="408E7319" w14:textId="77777777" w:rsidR="007D7A94" w:rsidRPr="007D7A94" w:rsidRDefault="007D7A94" w:rsidP="007D7A94">
      <w:pPr>
        <w:rPr>
          <w:rFonts w:cs="Arial"/>
          <w:b/>
          <w:u w:color="262626"/>
          <w:lang w:val="en-US"/>
        </w:rPr>
      </w:pPr>
    </w:p>
    <w:p w14:paraId="2F829057" w14:textId="77777777" w:rsidR="00F41922" w:rsidRDefault="00F41922" w:rsidP="004E29EE">
      <w:pPr>
        <w:pStyle w:val="Heading2"/>
        <w:rPr>
          <w:u w:color="262626"/>
          <w:lang w:val="en-US"/>
        </w:rPr>
      </w:pPr>
      <w:r>
        <w:rPr>
          <w:u w:color="262626"/>
          <w:lang w:val="en-US"/>
        </w:rPr>
        <w:t xml:space="preserve">Fracture healing in biological plate </w:t>
      </w:r>
      <w:proofErr w:type="spellStart"/>
      <w:r>
        <w:rPr>
          <w:u w:color="262626"/>
          <w:lang w:val="en-US"/>
        </w:rPr>
        <w:t>osteosynthesis</w:t>
      </w:r>
      <w:proofErr w:type="spellEnd"/>
      <w:r>
        <w:rPr>
          <w:u w:color="262626"/>
          <w:lang w:val="en-US"/>
        </w:rPr>
        <w:t>.</w:t>
      </w:r>
    </w:p>
    <w:p w14:paraId="3D05C665" w14:textId="33E24D0A" w:rsidR="00466FBE" w:rsidRPr="007D7A94" w:rsidRDefault="004E29EE" w:rsidP="00F41922">
      <w:pPr>
        <w:widowControl w:val="0"/>
        <w:autoSpaceDE w:val="0"/>
        <w:autoSpaceDN w:val="0"/>
        <w:adjustRightInd w:val="0"/>
      </w:pPr>
      <w:r>
        <w:t>Injury</w:t>
      </w:r>
      <w:r>
        <w:tab/>
      </w:r>
      <w:r>
        <w:tab/>
      </w:r>
      <w:proofErr w:type="spellStart"/>
      <w:r>
        <w:t>Baumgartel</w:t>
      </w:r>
      <w:proofErr w:type="spellEnd"/>
      <w:r>
        <w:t xml:space="preserve"> et al</w:t>
      </w:r>
      <w:r>
        <w:tab/>
      </w:r>
      <w:r>
        <w:tab/>
        <w:t>1998</w:t>
      </w:r>
    </w:p>
    <w:p w14:paraId="6ED9691E" w14:textId="77777777" w:rsidR="00F41922" w:rsidRDefault="00F41922" w:rsidP="00F41922">
      <w:pPr>
        <w:widowControl w:val="0"/>
        <w:autoSpaceDE w:val="0"/>
        <w:autoSpaceDN w:val="0"/>
        <w:adjustRightInd w:val="0"/>
        <w:rPr>
          <w:rFonts w:ascii="Arial" w:hAnsi="Arial" w:cs="Arial"/>
          <w:sz w:val="26"/>
          <w:szCs w:val="26"/>
          <w:u w:color="262626"/>
          <w:lang w:val="en-US"/>
        </w:rPr>
      </w:pPr>
    </w:p>
    <w:p w14:paraId="334A0D27" w14:textId="77777777" w:rsidR="00C73753" w:rsidRPr="006E3FBD" w:rsidRDefault="0095241A" w:rsidP="00F41922">
      <w:pPr>
        <w:widowControl w:val="0"/>
        <w:autoSpaceDE w:val="0"/>
        <w:autoSpaceDN w:val="0"/>
        <w:adjustRightInd w:val="0"/>
        <w:rPr>
          <w:rFonts w:cs="Arial"/>
          <w:b/>
          <w:u w:color="262626"/>
          <w:lang w:val="en-US"/>
        </w:rPr>
      </w:pPr>
      <w:bookmarkStart w:id="3" w:name="OLE_LINK1"/>
      <w:bookmarkStart w:id="4" w:name="OLE_LINK2"/>
      <w:r w:rsidRPr="006E3FBD">
        <w:rPr>
          <w:rFonts w:cs="Arial"/>
          <w:b/>
          <w:u w:color="262626"/>
          <w:lang w:val="en-US"/>
        </w:rPr>
        <w:t>I</w:t>
      </w:r>
      <w:r w:rsidR="00F41922" w:rsidRPr="006E3FBD">
        <w:rPr>
          <w:rFonts w:cs="Arial"/>
          <w:b/>
          <w:u w:color="262626"/>
          <w:lang w:val="en-US"/>
        </w:rPr>
        <w:t xml:space="preserve">ndirect reduction and bridge plating was superior to direct fragment reduction and anatomical fixation in respect to radiology, biomechanics and </w:t>
      </w:r>
      <w:proofErr w:type="spellStart"/>
      <w:r w:rsidR="00F41922" w:rsidRPr="006E3FBD">
        <w:rPr>
          <w:rFonts w:cs="Arial"/>
          <w:b/>
          <w:u w:color="262626"/>
          <w:lang w:val="en-US"/>
        </w:rPr>
        <w:t>microangiography</w:t>
      </w:r>
      <w:proofErr w:type="spellEnd"/>
      <w:r w:rsidR="00F41922" w:rsidRPr="006E3FBD">
        <w:rPr>
          <w:rFonts w:cs="Arial"/>
          <w:b/>
          <w:u w:color="262626"/>
          <w:lang w:val="en-US"/>
        </w:rPr>
        <w:t xml:space="preserve">. </w:t>
      </w:r>
    </w:p>
    <w:p w14:paraId="6BBD8858" w14:textId="1036C5EA" w:rsidR="00F41922" w:rsidRPr="006E3FBD" w:rsidRDefault="00F41922" w:rsidP="00F41922">
      <w:pPr>
        <w:widowControl w:val="0"/>
        <w:autoSpaceDE w:val="0"/>
        <w:autoSpaceDN w:val="0"/>
        <w:adjustRightInd w:val="0"/>
        <w:rPr>
          <w:rFonts w:cs="Arial"/>
          <w:b/>
          <w:u w:color="262626"/>
          <w:lang w:val="en-US"/>
        </w:rPr>
      </w:pPr>
      <w:r w:rsidRPr="006E3FBD">
        <w:rPr>
          <w:rFonts w:cs="Arial"/>
          <w:b/>
          <w:u w:color="262626"/>
          <w:lang w:val="en-US"/>
        </w:rPr>
        <w:t>The values for bone healing were improved by applying a plate with only point contact to the bone, thus conserving the periosteal blood supply.</w:t>
      </w:r>
    </w:p>
    <w:bookmarkEnd w:id="3"/>
    <w:bookmarkEnd w:id="4"/>
    <w:p w14:paraId="5F81903E" w14:textId="77777777" w:rsidR="002352D1" w:rsidRDefault="002352D1" w:rsidP="00EA559B"/>
    <w:p w14:paraId="233AD7A2" w14:textId="77777777" w:rsidR="002352D1" w:rsidRDefault="002352D1" w:rsidP="006E3FBD">
      <w:pPr>
        <w:pStyle w:val="Heading2"/>
        <w:rPr>
          <w:u w:color="262626"/>
          <w:lang w:val="en-US"/>
        </w:rPr>
      </w:pPr>
      <w:r>
        <w:rPr>
          <w:u w:color="262626"/>
          <w:lang w:val="en-US"/>
        </w:rPr>
        <w:t xml:space="preserve">Delayed internal fixation of fractures of the neck of the femur in young adults. A prospective, </w:t>
      </w:r>
      <w:proofErr w:type="spellStart"/>
      <w:r>
        <w:rPr>
          <w:u w:color="262626"/>
          <w:lang w:val="en-US"/>
        </w:rPr>
        <w:t>randomised</w:t>
      </w:r>
      <w:proofErr w:type="spellEnd"/>
      <w:r>
        <w:rPr>
          <w:u w:color="262626"/>
          <w:lang w:val="en-US"/>
        </w:rPr>
        <w:t xml:space="preserve"> study comparing closed and open reduction.</w:t>
      </w:r>
    </w:p>
    <w:p w14:paraId="6D2EB665" w14:textId="21D36307" w:rsidR="002352D1" w:rsidRDefault="006E3FBD" w:rsidP="006E3FBD">
      <w:pPr>
        <w:widowControl w:val="0"/>
        <w:autoSpaceDE w:val="0"/>
        <w:autoSpaceDN w:val="0"/>
        <w:adjustRightInd w:val="0"/>
      </w:pPr>
      <w:r>
        <w:t>JBJS Br</w:t>
      </w:r>
      <w:r>
        <w:tab/>
      </w:r>
      <w:r>
        <w:tab/>
      </w:r>
      <w:proofErr w:type="spellStart"/>
      <w:r>
        <w:t>Upadhyay</w:t>
      </w:r>
      <w:proofErr w:type="spellEnd"/>
      <w:r>
        <w:t xml:space="preserve"> et al</w:t>
      </w:r>
      <w:r>
        <w:tab/>
      </w:r>
      <w:r>
        <w:tab/>
        <w:t>2004</w:t>
      </w:r>
    </w:p>
    <w:p w14:paraId="458AB9B7" w14:textId="77777777" w:rsidR="006E3FBD" w:rsidRDefault="006E3FBD" w:rsidP="006E3FBD">
      <w:pPr>
        <w:widowControl w:val="0"/>
        <w:autoSpaceDE w:val="0"/>
        <w:autoSpaceDN w:val="0"/>
        <w:adjustRightInd w:val="0"/>
      </w:pPr>
    </w:p>
    <w:p w14:paraId="760387D4" w14:textId="19C9E3C6" w:rsidR="006E3FBD" w:rsidRDefault="006E3FBD" w:rsidP="006E3FBD">
      <w:pPr>
        <w:widowControl w:val="0"/>
        <w:autoSpaceDE w:val="0"/>
        <w:autoSpaceDN w:val="0"/>
        <w:adjustRightInd w:val="0"/>
      </w:pPr>
      <w:r>
        <w:t xml:space="preserve">102 patients – 15-50yrs old – displaced </w:t>
      </w:r>
      <w:proofErr w:type="spellStart"/>
      <w:r>
        <w:t>intracapsular</w:t>
      </w:r>
      <w:proofErr w:type="spellEnd"/>
      <w:r>
        <w:t xml:space="preserve"> NOF fractures – RCT</w:t>
      </w:r>
    </w:p>
    <w:p w14:paraId="0DC4AD3A" w14:textId="77777777" w:rsidR="006E3FBD" w:rsidRDefault="006E3FBD" w:rsidP="006E3FBD">
      <w:pPr>
        <w:widowControl w:val="0"/>
        <w:autoSpaceDE w:val="0"/>
        <w:autoSpaceDN w:val="0"/>
        <w:adjustRightInd w:val="0"/>
      </w:pPr>
    </w:p>
    <w:p w14:paraId="63A083B3" w14:textId="77777777" w:rsidR="006E3FBD" w:rsidRPr="006E3FBD" w:rsidRDefault="006E3FBD" w:rsidP="006E3FBD">
      <w:pPr>
        <w:widowControl w:val="0"/>
        <w:autoSpaceDE w:val="0"/>
        <w:autoSpaceDN w:val="0"/>
        <w:adjustRightInd w:val="0"/>
        <w:rPr>
          <w:lang w:val="en-US"/>
        </w:rPr>
      </w:pPr>
      <w:r w:rsidRPr="006E3FBD">
        <w:rPr>
          <w:lang w:val="en-US"/>
        </w:rPr>
        <w:t xml:space="preserve">Posterior </w:t>
      </w:r>
      <w:proofErr w:type="spellStart"/>
      <w:r w:rsidRPr="006E3FBD">
        <w:rPr>
          <w:lang w:val="en-US"/>
        </w:rPr>
        <w:t>comminution</w:t>
      </w:r>
      <w:proofErr w:type="spellEnd"/>
      <w:r w:rsidRPr="006E3FBD">
        <w:rPr>
          <w:lang w:val="en-US"/>
        </w:rPr>
        <w:t xml:space="preserve">, poor reduction and improper placement of the screws </w:t>
      </w:r>
    </w:p>
    <w:p w14:paraId="1FE9643D" w14:textId="77777777" w:rsidR="006E3FBD" w:rsidRPr="006E3FBD" w:rsidRDefault="006E3FBD" w:rsidP="006E3FBD">
      <w:pPr>
        <w:widowControl w:val="0"/>
        <w:autoSpaceDE w:val="0"/>
        <w:autoSpaceDN w:val="0"/>
        <w:adjustRightInd w:val="0"/>
        <w:rPr>
          <w:lang w:val="en-US"/>
        </w:rPr>
      </w:pPr>
      <w:proofErr w:type="gramStart"/>
      <w:r w:rsidRPr="006E3FBD">
        <w:rPr>
          <w:lang w:val="en-US"/>
        </w:rPr>
        <w:t>were</w:t>
      </w:r>
      <w:proofErr w:type="gramEnd"/>
      <w:r w:rsidRPr="006E3FBD">
        <w:rPr>
          <w:lang w:val="en-US"/>
        </w:rPr>
        <w:t xml:space="preserve"> the major factors contributing to nonunion. </w:t>
      </w:r>
    </w:p>
    <w:p w14:paraId="57B73573" w14:textId="77777777" w:rsidR="006E3FBD" w:rsidRPr="006E3FBD" w:rsidRDefault="006E3FBD" w:rsidP="006E3FBD">
      <w:pPr>
        <w:widowControl w:val="0"/>
        <w:autoSpaceDE w:val="0"/>
        <w:autoSpaceDN w:val="0"/>
        <w:adjustRightInd w:val="0"/>
        <w:rPr>
          <w:lang w:val="en-US"/>
        </w:rPr>
      </w:pPr>
      <w:r w:rsidRPr="006E3FBD">
        <w:rPr>
          <w:lang w:val="en-US"/>
        </w:rPr>
        <w:t xml:space="preserve">The overall incidence of AVN was 16.3% (15 of 92 patients) and it was not </w:t>
      </w:r>
    </w:p>
    <w:p w14:paraId="2A8A6CF2" w14:textId="77777777" w:rsidR="006E3FBD" w:rsidRPr="006E3FBD" w:rsidRDefault="006E3FBD" w:rsidP="006E3FBD">
      <w:pPr>
        <w:widowControl w:val="0"/>
        <w:autoSpaceDE w:val="0"/>
        <w:autoSpaceDN w:val="0"/>
        <w:adjustRightInd w:val="0"/>
        <w:rPr>
          <w:lang w:val="en-US"/>
        </w:rPr>
      </w:pPr>
      <w:proofErr w:type="gramStart"/>
      <w:r w:rsidRPr="006E3FBD">
        <w:rPr>
          <w:lang w:val="en-US"/>
        </w:rPr>
        <w:t>influenced</w:t>
      </w:r>
      <w:proofErr w:type="gramEnd"/>
      <w:r w:rsidRPr="006E3FBD">
        <w:rPr>
          <w:lang w:val="en-US"/>
        </w:rPr>
        <w:t xml:space="preserve"> by these factors. </w:t>
      </w:r>
    </w:p>
    <w:p w14:paraId="723E7858" w14:textId="430AFB4F" w:rsidR="006E3FBD" w:rsidRPr="006E3FBD" w:rsidRDefault="006E3FBD" w:rsidP="006E3FBD">
      <w:pPr>
        <w:widowControl w:val="0"/>
        <w:autoSpaceDE w:val="0"/>
        <w:autoSpaceDN w:val="0"/>
        <w:adjustRightInd w:val="0"/>
        <w:rPr>
          <w:b/>
          <w:lang w:val="en-US"/>
        </w:rPr>
      </w:pPr>
      <w:r w:rsidRPr="006E3FBD">
        <w:rPr>
          <w:b/>
          <w:lang w:val="en-US"/>
        </w:rPr>
        <w:t xml:space="preserve">A delay of more than 48 hours before surgery </w:t>
      </w:r>
      <w:r w:rsidRPr="006E3FBD">
        <w:rPr>
          <w:b/>
          <w:bCs/>
          <w:i/>
          <w:iCs/>
          <w:lang w:val="en-US"/>
        </w:rPr>
        <w:t xml:space="preserve">did not influence the rate of union or the development of AVN when compared with operation within 48 hours of injury </w:t>
      </w:r>
    </w:p>
    <w:p w14:paraId="7133D654" w14:textId="77777777" w:rsidR="006E3FBD" w:rsidRDefault="006E3FBD" w:rsidP="006E3FBD">
      <w:pPr>
        <w:widowControl w:val="0"/>
        <w:autoSpaceDE w:val="0"/>
        <w:autoSpaceDN w:val="0"/>
        <w:adjustRightInd w:val="0"/>
      </w:pPr>
    </w:p>
    <w:p w14:paraId="37E8E735" w14:textId="77777777" w:rsidR="00F80614" w:rsidRDefault="00F80614" w:rsidP="00F80614">
      <w:pPr>
        <w:rPr>
          <w:i/>
          <w:iCs/>
          <w:lang w:val="en-US"/>
        </w:rPr>
      </w:pPr>
    </w:p>
    <w:p w14:paraId="44E7F828" w14:textId="77777777" w:rsidR="00F80614" w:rsidRDefault="00F80614" w:rsidP="006E3FBD">
      <w:pPr>
        <w:pStyle w:val="Heading2"/>
      </w:pPr>
      <w:r>
        <w:t xml:space="preserve">Internal fixation compared with total hip replacement for displaced femoral neck fractures in the elderly </w:t>
      </w:r>
    </w:p>
    <w:p w14:paraId="7529784C" w14:textId="77777777" w:rsidR="00673CA6" w:rsidRDefault="006E3FBD" w:rsidP="006E3FBD">
      <w:pPr>
        <w:pStyle w:val="NormalWeb"/>
        <w:rPr>
          <w:sz w:val="24"/>
          <w:szCs w:val="24"/>
        </w:rPr>
      </w:pPr>
      <w:r>
        <w:rPr>
          <w:sz w:val="24"/>
          <w:szCs w:val="24"/>
        </w:rPr>
        <w:t xml:space="preserve">JBJS Br </w:t>
      </w:r>
      <w:r>
        <w:rPr>
          <w:sz w:val="24"/>
          <w:szCs w:val="24"/>
        </w:rPr>
        <w:tab/>
      </w:r>
      <w:r>
        <w:rPr>
          <w:sz w:val="24"/>
          <w:szCs w:val="24"/>
        </w:rPr>
        <w:tab/>
        <w:t>Tidemark et al</w:t>
      </w:r>
      <w:r>
        <w:rPr>
          <w:sz w:val="24"/>
          <w:szCs w:val="24"/>
        </w:rPr>
        <w:tab/>
      </w:r>
      <w:r>
        <w:rPr>
          <w:sz w:val="24"/>
          <w:szCs w:val="24"/>
        </w:rPr>
        <w:tab/>
        <w:t>2003</w:t>
      </w:r>
      <w:r w:rsidR="00F80614">
        <w:rPr>
          <w:sz w:val="24"/>
          <w:szCs w:val="24"/>
        </w:rPr>
        <w:t xml:space="preserve"> </w:t>
      </w:r>
    </w:p>
    <w:p w14:paraId="7BB6250B" w14:textId="52F8F511" w:rsidR="006E3FBD" w:rsidRDefault="006E3FBD" w:rsidP="006E3FBD">
      <w:pPr>
        <w:pStyle w:val="NormalWeb"/>
        <w:rPr>
          <w:sz w:val="24"/>
          <w:szCs w:val="24"/>
        </w:rPr>
      </w:pPr>
      <w:r>
        <w:rPr>
          <w:sz w:val="24"/>
          <w:szCs w:val="24"/>
        </w:rPr>
        <w:t xml:space="preserve">RCT – 102 </w:t>
      </w:r>
      <w:proofErr w:type="spellStart"/>
      <w:r>
        <w:rPr>
          <w:sz w:val="24"/>
          <w:szCs w:val="24"/>
        </w:rPr>
        <w:t>pts</w:t>
      </w:r>
      <w:proofErr w:type="spellEnd"/>
      <w:r>
        <w:rPr>
          <w:sz w:val="24"/>
          <w:szCs w:val="24"/>
        </w:rPr>
        <w:t xml:space="preserve"> – mean 80yrs </w:t>
      </w:r>
      <w:r w:rsidR="0006685D">
        <w:rPr>
          <w:sz w:val="24"/>
          <w:szCs w:val="24"/>
        </w:rPr>
        <w:t>–</w:t>
      </w:r>
      <w:r>
        <w:rPr>
          <w:sz w:val="24"/>
          <w:szCs w:val="24"/>
        </w:rPr>
        <w:t xml:space="preserve"> </w:t>
      </w:r>
      <w:r w:rsidR="0006685D">
        <w:rPr>
          <w:sz w:val="24"/>
          <w:szCs w:val="24"/>
        </w:rPr>
        <w:t>IF and THR</w:t>
      </w:r>
    </w:p>
    <w:p w14:paraId="724D663E" w14:textId="223624A2" w:rsidR="0006685D" w:rsidRPr="0006685D" w:rsidRDefault="00F80614" w:rsidP="00F80614">
      <w:pPr>
        <w:rPr>
          <w:bCs/>
          <w:i/>
          <w:iCs/>
          <w:lang w:val="en-US"/>
        </w:rPr>
      </w:pPr>
      <w:r w:rsidRPr="0006685D">
        <w:rPr>
          <w:bCs/>
          <w:i/>
          <w:iCs/>
          <w:lang w:val="en-US"/>
        </w:rPr>
        <w:t>The failure rate after 24 months was higher in the IF group than in the THR group with regard to hip complications, and th</w:t>
      </w:r>
      <w:r w:rsidR="0006685D" w:rsidRPr="0006685D">
        <w:rPr>
          <w:bCs/>
          <w:i/>
          <w:iCs/>
          <w:lang w:val="en-US"/>
        </w:rPr>
        <w:t>e number of revision procedures.</w:t>
      </w:r>
    </w:p>
    <w:p w14:paraId="0F03F799" w14:textId="42945789" w:rsidR="00F80614" w:rsidRPr="0006685D" w:rsidRDefault="00F80614" w:rsidP="00F80614">
      <w:pPr>
        <w:rPr>
          <w:i/>
          <w:iCs/>
          <w:lang w:val="en-US"/>
        </w:rPr>
      </w:pPr>
      <w:r w:rsidRPr="0006685D">
        <w:rPr>
          <w:bCs/>
          <w:i/>
          <w:iCs/>
          <w:lang w:val="en-US"/>
        </w:rPr>
        <w:t>Hip function was significantly better in the THR group at all f</w:t>
      </w:r>
      <w:r w:rsidR="0006685D" w:rsidRPr="0006685D">
        <w:rPr>
          <w:bCs/>
          <w:i/>
          <w:iCs/>
          <w:lang w:val="en-US"/>
        </w:rPr>
        <w:t xml:space="preserve">ollow-up reviews regarding pain, </w:t>
      </w:r>
      <w:r w:rsidRPr="0006685D">
        <w:rPr>
          <w:bCs/>
          <w:i/>
          <w:iCs/>
          <w:lang w:val="en-US"/>
        </w:rPr>
        <w:t>movement and walking.</w:t>
      </w:r>
    </w:p>
    <w:p w14:paraId="263E6C52" w14:textId="272DAA27" w:rsidR="00F80614" w:rsidRPr="00F80614" w:rsidRDefault="00F80614" w:rsidP="00F80614">
      <w:pPr>
        <w:rPr>
          <w:i/>
          <w:iCs/>
          <w:lang w:val="en-US"/>
        </w:rPr>
      </w:pPr>
      <w:r w:rsidRPr="00F80614">
        <w:rPr>
          <w:b/>
          <w:bCs/>
          <w:i/>
          <w:iCs/>
          <w:lang w:val="en-US"/>
        </w:rPr>
        <w:t xml:space="preserve">THR provides a better outcome than IF for elderly, relatively healthy, lucid patients with a displaced fracture of the femoral neck. </w:t>
      </w:r>
    </w:p>
    <w:p w14:paraId="7CFAA84E" w14:textId="77777777" w:rsidR="00F80614" w:rsidRDefault="00F80614" w:rsidP="00F80614">
      <w:pPr>
        <w:rPr>
          <w:i/>
          <w:iCs/>
          <w:lang w:val="en-US"/>
        </w:rPr>
      </w:pPr>
    </w:p>
    <w:p w14:paraId="3717B731" w14:textId="77777777" w:rsidR="00F80614" w:rsidRDefault="00F80614" w:rsidP="00F80614">
      <w:pPr>
        <w:rPr>
          <w:i/>
          <w:iCs/>
          <w:lang w:val="en-US"/>
        </w:rPr>
      </w:pPr>
    </w:p>
    <w:p w14:paraId="2BF56423" w14:textId="77777777" w:rsidR="009A3259" w:rsidRDefault="009A3259" w:rsidP="0006685D">
      <w:pPr>
        <w:pStyle w:val="Heading2"/>
        <w:rPr>
          <w:lang w:val="en-US"/>
        </w:rPr>
      </w:pPr>
      <w:r>
        <w:rPr>
          <w:lang w:val="en-US"/>
        </w:rPr>
        <w:t>Total Hip Replacement Versus Open Reduction and Internal Fixation of Displaced Femoral Neck Fractures</w:t>
      </w:r>
    </w:p>
    <w:p w14:paraId="3881CFB9" w14:textId="21516392" w:rsidR="0006685D" w:rsidRPr="00071F25" w:rsidRDefault="0006685D" w:rsidP="009A3259">
      <w:pPr>
        <w:widowControl w:val="0"/>
        <w:autoSpaceDE w:val="0"/>
        <w:autoSpaceDN w:val="0"/>
        <w:adjustRightInd w:val="0"/>
        <w:rPr>
          <w:rFonts w:cs="Georgia"/>
          <w:color w:val="101010"/>
          <w:lang w:val="en-US"/>
        </w:rPr>
      </w:pPr>
      <w:r w:rsidRPr="00071F25">
        <w:rPr>
          <w:rFonts w:cs="Georgia"/>
          <w:color w:val="101010"/>
          <w:lang w:val="en-US"/>
        </w:rPr>
        <w:t>JBJS Am</w:t>
      </w:r>
      <w:r w:rsidRPr="00071F25">
        <w:rPr>
          <w:rFonts w:cs="Georgia"/>
          <w:color w:val="101010"/>
          <w:lang w:val="en-US"/>
        </w:rPr>
        <w:tab/>
      </w:r>
      <w:r w:rsidRPr="00071F25">
        <w:rPr>
          <w:rFonts w:cs="Georgia"/>
          <w:color w:val="101010"/>
          <w:lang w:val="en-US"/>
        </w:rPr>
        <w:tab/>
        <w:t>Ghazi et al</w:t>
      </w:r>
      <w:r w:rsidRPr="00071F25">
        <w:rPr>
          <w:rFonts w:cs="Georgia"/>
          <w:color w:val="101010"/>
          <w:lang w:val="en-US"/>
        </w:rPr>
        <w:tab/>
        <w:t>2012</w:t>
      </w:r>
    </w:p>
    <w:p w14:paraId="670AB868" w14:textId="77777777" w:rsidR="0006685D" w:rsidRPr="00071F25" w:rsidRDefault="0006685D" w:rsidP="009A3259">
      <w:pPr>
        <w:widowControl w:val="0"/>
        <w:autoSpaceDE w:val="0"/>
        <w:autoSpaceDN w:val="0"/>
        <w:adjustRightInd w:val="0"/>
        <w:rPr>
          <w:rFonts w:cs="Georgia"/>
          <w:color w:val="101010"/>
          <w:lang w:val="en-US"/>
        </w:rPr>
      </w:pPr>
    </w:p>
    <w:p w14:paraId="4A65A032" w14:textId="057AC311" w:rsidR="0006685D" w:rsidRPr="00071F25" w:rsidRDefault="0006685D" w:rsidP="009A3259">
      <w:pPr>
        <w:widowControl w:val="0"/>
        <w:autoSpaceDE w:val="0"/>
        <w:autoSpaceDN w:val="0"/>
        <w:adjustRightInd w:val="0"/>
        <w:rPr>
          <w:rFonts w:cs="Georgia"/>
          <w:color w:val="101010"/>
          <w:lang w:val="en-US"/>
        </w:rPr>
      </w:pPr>
      <w:r w:rsidRPr="00071F25">
        <w:rPr>
          <w:rFonts w:cs="Georgia"/>
          <w:color w:val="101010"/>
          <w:lang w:val="en-US"/>
        </w:rPr>
        <w:t xml:space="preserve">RCT – </w:t>
      </w:r>
      <w:proofErr w:type="spellStart"/>
      <w:r w:rsidRPr="00071F25">
        <w:rPr>
          <w:rFonts w:cs="Georgia"/>
          <w:color w:val="101010"/>
          <w:lang w:val="en-US"/>
        </w:rPr>
        <w:t>Longterm</w:t>
      </w:r>
      <w:proofErr w:type="spellEnd"/>
      <w:r w:rsidRPr="00071F25">
        <w:rPr>
          <w:rFonts w:cs="Georgia"/>
          <w:color w:val="101010"/>
          <w:lang w:val="en-US"/>
        </w:rPr>
        <w:t xml:space="preserve"> </w:t>
      </w:r>
      <w:proofErr w:type="spellStart"/>
      <w:r w:rsidRPr="00071F25">
        <w:rPr>
          <w:rFonts w:cs="Georgia"/>
          <w:color w:val="101010"/>
          <w:lang w:val="en-US"/>
        </w:rPr>
        <w:t>followup</w:t>
      </w:r>
      <w:proofErr w:type="spellEnd"/>
      <w:r w:rsidRPr="00071F25">
        <w:rPr>
          <w:rFonts w:cs="Georgia"/>
          <w:color w:val="101010"/>
          <w:lang w:val="en-US"/>
        </w:rPr>
        <w:t xml:space="preserve"> – 100 patients – mean age 78</w:t>
      </w:r>
    </w:p>
    <w:p w14:paraId="0272B447" w14:textId="77777777" w:rsidR="0006685D" w:rsidRPr="00071F25" w:rsidRDefault="0006685D" w:rsidP="009A3259">
      <w:pPr>
        <w:widowControl w:val="0"/>
        <w:autoSpaceDE w:val="0"/>
        <w:autoSpaceDN w:val="0"/>
        <w:adjustRightInd w:val="0"/>
        <w:rPr>
          <w:rFonts w:cs="Georgia"/>
          <w:color w:val="101010"/>
          <w:lang w:val="en-US"/>
        </w:rPr>
      </w:pPr>
    </w:p>
    <w:p w14:paraId="238948DA" w14:textId="77777777" w:rsidR="0006685D" w:rsidRPr="00071F25" w:rsidRDefault="0006685D" w:rsidP="0006685D">
      <w:pPr>
        <w:widowControl w:val="0"/>
        <w:autoSpaceDE w:val="0"/>
        <w:autoSpaceDN w:val="0"/>
        <w:adjustRightInd w:val="0"/>
        <w:rPr>
          <w:rFonts w:cs="Georgia"/>
          <w:b/>
          <w:color w:val="101010"/>
          <w:lang w:val="en-US"/>
        </w:rPr>
      </w:pPr>
      <w:r w:rsidRPr="00071F25">
        <w:rPr>
          <w:rFonts w:cs="Georgia"/>
          <w:b/>
          <w:color w:val="101010"/>
          <w:lang w:val="en-US"/>
        </w:rPr>
        <w:t>Over a period of seventeen years in a group of healthy, elderly patients with a displaced femoral neck fracture, total hip replacement provided better hip function and significantly fewer reoperations compared with internal fixation without increasing mortality.</w:t>
      </w:r>
    </w:p>
    <w:p w14:paraId="519A0A4A" w14:textId="77777777" w:rsidR="0006685D" w:rsidRDefault="0006685D" w:rsidP="009A3259">
      <w:pPr>
        <w:widowControl w:val="0"/>
        <w:autoSpaceDE w:val="0"/>
        <w:autoSpaceDN w:val="0"/>
        <w:adjustRightInd w:val="0"/>
        <w:rPr>
          <w:rFonts w:ascii="Georgia" w:hAnsi="Georgia" w:cs="Georgia"/>
          <w:color w:val="101010"/>
          <w:sz w:val="32"/>
          <w:szCs w:val="32"/>
          <w:lang w:val="en-US"/>
        </w:rPr>
      </w:pPr>
    </w:p>
    <w:p w14:paraId="40811C24" w14:textId="77777777" w:rsidR="00071F25" w:rsidRDefault="008313C1" w:rsidP="008313C1">
      <w:pPr>
        <w:spacing w:before="100" w:beforeAutospacing="1" w:after="100" w:afterAutospacing="1"/>
        <w:rPr>
          <w:rFonts w:ascii="Times" w:hAnsi="Times" w:cs="Times New Roman"/>
          <w:lang w:val="en-US"/>
        </w:rPr>
      </w:pPr>
      <w:r w:rsidRPr="00071F25">
        <w:rPr>
          <w:rStyle w:val="Heading2Char"/>
        </w:rPr>
        <w:t>The timing of reduction and stabilisation of the acute, unstable, slipped upper femoral epiphysis</w:t>
      </w:r>
      <w:r w:rsidRPr="00071F25">
        <w:rPr>
          <w:rStyle w:val="Heading2Char"/>
        </w:rPr>
        <w:br/>
      </w:r>
      <w:r w:rsidR="00071F25">
        <w:rPr>
          <w:rFonts w:ascii="Times" w:hAnsi="Times" w:cs="Times New Roman"/>
          <w:lang w:val="en-US"/>
        </w:rPr>
        <w:t>JBJS Br</w:t>
      </w:r>
      <w:r w:rsidR="00071F25">
        <w:rPr>
          <w:rFonts w:ascii="Times" w:hAnsi="Times" w:cs="Times New Roman"/>
          <w:lang w:val="en-US"/>
        </w:rPr>
        <w:tab/>
        <w:t>Phillips et al (</w:t>
      </w:r>
      <w:proofErr w:type="spellStart"/>
      <w:r w:rsidR="00071F25">
        <w:rPr>
          <w:rFonts w:ascii="Times" w:hAnsi="Times" w:cs="Times New Roman"/>
          <w:lang w:val="en-US"/>
        </w:rPr>
        <w:t>Southamton</w:t>
      </w:r>
      <w:proofErr w:type="spellEnd"/>
      <w:r w:rsidR="00071F25">
        <w:rPr>
          <w:rFonts w:ascii="Times" w:hAnsi="Times" w:cs="Times New Roman"/>
          <w:lang w:val="en-US"/>
        </w:rPr>
        <w:t>)</w:t>
      </w:r>
      <w:r w:rsidR="00071F25">
        <w:rPr>
          <w:rFonts w:ascii="Times" w:hAnsi="Times" w:cs="Times New Roman"/>
          <w:lang w:val="en-US"/>
        </w:rPr>
        <w:tab/>
      </w:r>
      <w:r w:rsidR="00071F25">
        <w:rPr>
          <w:rFonts w:ascii="Times" w:hAnsi="Times" w:cs="Times New Roman"/>
          <w:lang w:val="en-US"/>
        </w:rPr>
        <w:tab/>
        <w:t>2001</w:t>
      </w:r>
    </w:p>
    <w:p w14:paraId="0051D395" w14:textId="15B6C226" w:rsidR="00071F25" w:rsidRPr="00071F25" w:rsidRDefault="00071F25" w:rsidP="008313C1">
      <w:pPr>
        <w:spacing w:before="100" w:beforeAutospacing="1" w:after="100" w:afterAutospacing="1"/>
        <w:rPr>
          <w:rFonts w:cs="Times New Roman"/>
          <w:lang w:val="en-US"/>
        </w:rPr>
      </w:pPr>
      <w:r w:rsidRPr="00071F25">
        <w:rPr>
          <w:rFonts w:cs="Times New Roman"/>
          <w:lang w:val="en-US"/>
        </w:rPr>
        <w:t xml:space="preserve">100 – SUFE – 14 unstable – reduction &amp; stabilization in 24 </w:t>
      </w:r>
      <w:proofErr w:type="spellStart"/>
      <w:r w:rsidRPr="00071F25">
        <w:rPr>
          <w:rFonts w:cs="Times New Roman"/>
          <w:lang w:val="en-US"/>
        </w:rPr>
        <w:t>hrs</w:t>
      </w:r>
      <w:proofErr w:type="spellEnd"/>
    </w:p>
    <w:p w14:paraId="684181A7" w14:textId="4C7A7094" w:rsidR="00071F25" w:rsidRPr="00071F25" w:rsidRDefault="00071F25" w:rsidP="008313C1">
      <w:pPr>
        <w:spacing w:before="100" w:beforeAutospacing="1" w:after="100" w:afterAutospacing="1"/>
        <w:rPr>
          <w:rFonts w:cs="Times New Roman"/>
          <w:lang w:val="en-US"/>
        </w:rPr>
      </w:pPr>
      <w:r w:rsidRPr="00071F25">
        <w:rPr>
          <w:rFonts w:cs="Times New Roman"/>
          <w:lang w:val="en-US"/>
        </w:rPr>
        <w:t>No AVN in unstable group – 4 in stable group (out of 86)</w:t>
      </w:r>
    </w:p>
    <w:p w14:paraId="6BDBBF29" w14:textId="77777777" w:rsidR="00071F25" w:rsidRPr="00071F25" w:rsidRDefault="00071F25" w:rsidP="00071F25">
      <w:pPr>
        <w:rPr>
          <w:rFonts w:cs="Helvetica"/>
          <w:lang w:val="en-US"/>
        </w:rPr>
      </w:pPr>
      <w:r w:rsidRPr="00071F25">
        <w:rPr>
          <w:rFonts w:cs="Helvetica"/>
          <w:b/>
          <w:bCs/>
          <w:lang w:val="en-US"/>
        </w:rPr>
        <w:t xml:space="preserve">We recommend reduction and </w:t>
      </w:r>
      <w:proofErr w:type="spellStart"/>
      <w:r w:rsidRPr="00071F25">
        <w:rPr>
          <w:rFonts w:cs="Helvetica"/>
          <w:b/>
          <w:bCs/>
          <w:lang w:val="en-US"/>
        </w:rPr>
        <w:t>stabilisation</w:t>
      </w:r>
      <w:proofErr w:type="spellEnd"/>
      <w:r w:rsidRPr="00071F25">
        <w:rPr>
          <w:rFonts w:cs="Helvetica"/>
          <w:b/>
          <w:bCs/>
          <w:lang w:val="en-US"/>
        </w:rPr>
        <w:t xml:space="preserve"> of unstable slips within 24 hours of the onset of symptoms in order to reduce the risk of AVN. </w:t>
      </w:r>
    </w:p>
    <w:p w14:paraId="671B7E9C" w14:textId="77777777" w:rsidR="008313C1" w:rsidRDefault="008313C1" w:rsidP="009A3259">
      <w:pPr>
        <w:rPr>
          <w:rFonts w:ascii="Helvetica" w:hAnsi="Helvetica" w:cs="Helvetica"/>
          <w:sz w:val="28"/>
          <w:szCs w:val="28"/>
          <w:lang w:val="en-US"/>
        </w:rPr>
      </w:pPr>
    </w:p>
    <w:p w14:paraId="79357D27" w14:textId="77777777" w:rsidR="008313C1" w:rsidRDefault="008313C1" w:rsidP="008313C1">
      <w:pPr>
        <w:widowControl w:val="0"/>
        <w:autoSpaceDE w:val="0"/>
        <w:autoSpaceDN w:val="0"/>
        <w:adjustRightInd w:val="0"/>
        <w:rPr>
          <w:rFonts w:ascii="Arial" w:hAnsi="Arial" w:cs="Arial"/>
          <w:sz w:val="22"/>
          <w:szCs w:val="22"/>
          <w:u w:color="262626"/>
          <w:lang w:val="en-US"/>
        </w:rPr>
      </w:pPr>
      <w:r>
        <w:rPr>
          <w:rFonts w:ascii="Arial" w:hAnsi="Arial" w:cs="Arial"/>
          <w:color w:val="262626"/>
          <w:sz w:val="22"/>
          <w:szCs w:val="22"/>
          <w:u w:val="single" w:color="262626"/>
          <w:lang w:val="en-US"/>
        </w:rPr>
        <w:t>Br Med Bull.</w:t>
      </w:r>
      <w:r>
        <w:rPr>
          <w:rFonts w:ascii="Arial" w:hAnsi="Arial" w:cs="Arial"/>
          <w:sz w:val="22"/>
          <w:szCs w:val="22"/>
          <w:u w:color="262626"/>
          <w:lang w:val="en-US"/>
        </w:rPr>
        <w:t xml:space="preserve"> 2009</w:t>
      </w:r>
      <w:proofErr w:type="gramStart"/>
      <w:r>
        <w:rPr>
          <w:rFonts w:ascii="Arial" w:hAnsi="Arial" w:cs="Arial"/>
          <w:sz w:val="22"/>
          <w:szCs w:val="22"/>
          <w:u w:color="262626"/>
          <w:lang w:val="en-US"/>
        </w:rPr>
        <w:t>;90:133</w:t>
      </w:r>
      <w:proofErr w:type="gramEnd"/>
      <w:r>
        <w:rPr>
          <w:rFonts w:ascii="Arial" w:hAnsi="Arial" w:cs="Arial"/>
          <w:sz w:val="22"/>
          <w:szCs w:val="22"/>
          <w:u w:color="262626"/>
          <w:lang w:val="en-US"/>
        </w:rPr>
        <w:t xml:space="preserve">-46. </w:t>
      </w:r>
      <w:proofErr w:type="spellStart"/>
      <w:proofErr w:type="gramStart"/>
      <w:r>
        <w:rPr>
          <w:rFonts w:ascii="Arial" w:hAnsi="Arial" w:cs="Arial"/>
          <w:sz w:val="22"/>
          <w:szCs w:val="22"/>
          <w:u w:color="262626"/>
          <w:lang w:val="en-US"/>
        </w:rPr>
        <w:t>doi</w:t>
      </w:r>
      <w:proofErr w:type="spellEnd"/>
      <w:proofErr w:type="gramEnd"/>
      <w:r>
        <w:rPr>
          <w:rFonts w:ascii="Arial" w:hAnsi="Arial" w:cs="Arial"/>
          <w:sz w:val="22"/>
          <w:szCs w:val="22"/>
          <w:u w:color="262626"/>
          <w:lang w:val="en-US"/>
        </w:rPr>
        <w:t>: 10.1093/</w:t>
      </w:r>
      <w:proofErr w:type="spellStart"/>
      <w:r>
        <w:rPr>
          <w:rFonts w:ascii="Arial" w:hAnsi="Arial" w:cs="Arial"/>
          <w:sz w:val="22"/>
          <w:szCs w:val="22"/>
          <w:u w:color="262626"/>
          <w:lang w:val="en-US"/>
        </w:rPr>
        <w:t>bmb</w:t>
      </w:r>
      <w:proofErr w:type="spellEnd"/>
      <w:r>
        <w:rPr>
          <w:rFonts w:ascii="Arial" w:hAnsi="Arial" w:cs="Arial"/>
          <w:sz w:val="22"/>
          <w:szCs w:val="22"/>
          <w:u w:color="262626"/>
          <w:lang w:val="en-US"/>
        </w:rPr>
        <w:t xml:space="preserve">/ldp012. </w:t>
      </w:r>
      <w:proofErr w:type="spellStart"/>
      <w:proofErr w:type="gramStart"/>
      <w:r>
        <w:rPr>
          <w:rFonts w:ascii="Arial" w:hAnsi="Arial" w:cs="Arial"/>
          <w:sz w:val="22"/>
          <w:szCs w:val="22"/>
          <w:u w:color="262626"/>
          <w:lang w:val="en-US"/>
        </w:rPr>
        <w:t>Epub</w:t>
      </w:r>
      <w:proofErr w:type="spellEnd"/>
      <w:r>
        <w:rPr>
          <w:rFonts w:ascii="Arial" w:hAnsi="Arial" w:cs="Arial"/>
          <w:sz w:val="22"/>
          <w:szCs w:val="22"/>
          <w:u w:color="262626"/>
          <w:lang w:val="en-US"/>
        </w:rPr>
        <w:t xml:space="preserve"> 2009 Apr 17.</w:t>
      </w:r>
      <w:proofErr w:type="gramEnd"/>
    </w:p>
    <w:p w14:paraId="140F31F0" w14:textId="77777777" w:rsidR="008313C1" w:rsidRDefault="008313C1" w:rsidP="00071F25">
      <w:pPr>
        <w:pStyle w:val="Heading2"/>
        <w:rPr>
          <w:u w:color="262626"/>
          <w:lang w:val="en-US"/>
        </w:rPr>
      </w:pPr>
      <w:r>
        <w:rPr>
          <w:u w:color="262626"/>
          <w:lang w:val="en-US"/>
        </w:rPr>
        <w:t>Management of unstable slipped upper femoral epiphysis: a meta-analysis.</w:t>
      </w:r>
    </w:p>
    <w:p w14:paraId="746EF221" w14:textId="77FB4735" w:rsidR="00071F25" w:rsidRDefault="00071F25" w:rsidP="008313C1">
      <w:pPr>
        <w:widowControl w:val="0"/>
        <w:autoSpaceDE w:val="0"/>
        <w:autoSpaceDN w:val="0"/>
        <w:adjustRightInd w:val="0"/>
      </w:pPr>
      <w:r>
        <w:t>Br Med Bull</w:t>
      </w:r>
      <w:r>
        <w:tab/>
      </w:r>
      <w:r>
        <w:tab/>
        <w:t>2009</w:t>
      </w:r>
      <w:r>
        <w:tab/>
      </w:r>
      <w:r>
        <w:tab/>
      </w:r>
      <w:proofErr w:type="spellStart"/>
      <w:r>
        <w:t>Lowndes</w:t>
      </w:r>
      <w:proofErr w:type="spellEnd"/>
      <w:r>
        <w:t xml:space="preserve"> et al</w:t>
      </w:r>
    </w:p>
    <w:p w14:paraId="5F4BBF6B" w14:textId="3ADFECBC" w:rsidR="00071F25" w:rsidRDefault="00071F25" w:rsidP="008313C1">
      <w:pPr>
        <w:widowControl w:val="0"/>
        <w:autoSpaceDE w:val="0"/>
        <w:autoSpaceDN w:val="0"/>
        <w:adjustRightInd w:val="0"/>
      </w:pPr>
      <w:r>
        <w:t>Meta analysis</w:t>
      </w:r>
    </w:p>
    <w:p w14:paraId="7DE7A633" w14:textId="3064F951" w:rsidR="00071F25" w:rsidRDefault="00071F25" w:rsidP="008313C1">
      <w:pPr>
        <w:widowControl w:val="0"/>
        <w:autoSpaceDE w:val="0"/>
        <w:autoSpaceDN w:val="0"/>
        <w:adjustRightInd w:val="0"/>
      </w:pPr>
      <w:r>
        <w:t xml:space="preserve">Unreduced group </w:t>
      </w:r>
      <w:proofErr w:type="spellStart"/>
      <w:r>
        <w:t>group</w:t>
      </w:r>
      <w:proofErr w:type="spellEnd"/>
      <w:r>
        <w:t xml:space="preserve"> had lower risk of developing AVN (Odds ratio 2.20)</w:t>
      </w:r>
    </w:p>
    <w:p w14:paraId="3B89CC07" w14:textId="685B15D3" w:rsidR="00071F25" w:rsidRDefault="00071F25" w:rsidP="008313C1">
      <w:pPr>
        <w:widowControl w:val="0"/>
        <w:autoSpaceDE w:val="0"/>
        <w:autoSpaceDN w:val="0"/>
        <w:adjustRightInd w:val="0"/>
      </w:pPr>
      <w:r>
        <w:t xml:space="preserve">Fixation in 24 </w:t>
      </w:r>
      <w:proofErr w:type="spellStart"/>
      <w:r>
        <w:t>hrs</w:t>
      </w:r>
      <w:proofErr w:type="spellEnd"/>
      <w:r>
        <w:t xml:space="preserve"> for unstable slips had better outcome (Odds ratio 0.50) – not significant</w:t>
      </w:r>
    </w:p>
    <w:p w14:paraId="51FAE322" w14:textId="77777777" w:rsidR="00071F25" w:rsidRDefault="00071F25" w:rsidP="008313C1">
      <w:pPr>
        <w:widowControl w:val="0"/>
        <w:autoSpaceDE w:val="0"/>
        <w:autoSpaceDN w:val="0"/>
        <w:adjustRightInd w:val="0"/>
      </w:pPr>
    </w:p>
    <w:p w14:paraId="7A630E2A" w14:textId="77777777" w:rsidR="008313C1" w:rsidRDefault="008313C1" w:rsidP="008313C1">
      <w:pPr>
        <w:rPr>
          <w:rFonts w:ascii="Arial" w:hAnsi="Arial" w:cs="Arial"/>
          <w:sz w:val="26"/>
          <w:szCs w:val="26"/>
          <w:u w:color="262626"/>
          <w:lang w:val="en-US"/>
        </w:rPr>
      </w:pPr>
    </w:p>
    <w:p w14:paraId="2846EA3E" w14:textId="77777777" w:rsidR="008313C1" w:rsidRDefault="008313C1" w:rsidP="008313C1">
      <w:pPr>
        <w:widowControl w:val="0"/>
        <w:autoSpaceDE w:val="0"/>
        <w:autoSpaceDN w:val="0"/>
        <w:adjustRightInd w:val="0"/>
        <w:rPr>
          <w:rFonts w:ascii="Arial" w:hAnsi="Arial" w:cs="Arial"/>
          <w:sz w:val="22"/>
          <w:szCs w:val="22"/>
          <w:u w:color="262626"/>
          <w:lang w:val="en-US"/>
        </w:rPr>
      </w:pPr>
      <w:r>
        <w:rPr>
          <w:rFonts w:ascii="Arial" w:hAnsi="Arial" w:cs="Arial"/>
          <w:color w:val="262626"/>
          <w:sz w:val="22"/>
          <w:szCs w:val="22"/>
          <w:u w:val="single" w:color="262626"/>
          <w:lang w:val="en-US"/>
        </w:rPr>
        <w:t xml:space="preserve">J Bone Joint </w:t>
      </w:r>
      <w:proofErr w:type="spellStart"/>
      <w:r>
        <w:rPr>
          <w:rFonts w:ascii="Arial" w:hAnsi="Arial" w:cs="Arial"/>
          <w:color w:val="262626"/>
          <w:sz w:val="22"/>
          <w:szCs w:val="22"/>
          <w:u w:val="single" w:color="262626"/>
          <w:lang w:val="en-US"/>
        </w:rPr>
        <w:t>Surg</w:t>
      </w:r>
      <w:proofErr w:type="spellEnd"/>
      <w:r>
        <w:rPr>
          <w:rFonts w:ascii="Arial" w:hAnsi="Arial" w:cs="Arial"/>
          <w:color w:val="262626"/>
          <w:sz w:val="22"/>
          <w:szCs w:val="22"/>
          <w:u w:val="single" w:color="262626"/>
          <w:lang w:val="en-US"/>
        </w:rPr>
        <w:t xml:space="preserve"> Am.</w:t>
      </w:r>
      <w:r>
        <w:rPr>
          <w:rFonts w:ascii="Arial" w:hAnsi="Arial" w:cs="Arial"/>
          <w:sz w:val="22"/>
          <w:szCs w:val="22"/>
          <w:u w:color="262626"/>
          <w:lang w:val="en-US"/>
        </w:rPr>
        <w:t xml:space="preserve"> 2004 Oct</w:t>
      </w:r>
      <w:proofErr w:type="gramStart"/>
      <w:r>
        <w:rPr>
          <w:rFonts w:ascii="Arial" w:hAnsi="Arial" w:cs="Arial"/>
          <w:sz w:val="22"/>
          <w:szCs w:val="22"/>
          <w:u w:color="262626"/>
          <w:lang w:val="en-US"/>
        </w:rPr>
        <w:t>;86</w:t>
      </w:r>
      <w:proofErr w:type="gramEnd"/>
      <w:r>
        <w:rPr>
          <w:rFonts w:ascii="Arial" w:hAnsi="Arial" w:cs="Arial"/>
          <w:sz w:val="22"/>
          <w:szCs w:val="22"/>
          <w:u w:color="262626"/>
          <w:lang w:val="en-US"/>
        </w:rPr>
        <w:t>-A(10):2121-34.</w:t>
      </w:r>
    </w:p>
    <w:p w14:paraId="43951FFE" w14:textId="77777777" w:rsidR="008313C1" w:rsidRDefault="008313C1" w:rsidP="00071F25">
      <w:pPr>
        <w:pStyle w:val="Heading2"/>
        <w:rPr>
          <w:u w:color="262626"/>
          <w:lang w:val="en-US"/>
        </w:rPr>
      </w:pPr>
      <w:r>
        <w:rPr>
          <w:u w:color="262626"/>
          <w:lang w:val="en-US"/>
        </w:rPr>
        <w:t>Legg-Calve-</w:t>
      </w:r>
      <w:proofErr w:type="spellStart"/>
      <w:r>
        <w:rPr>
          <w:u w:color="262626"/>
          <w:lang w:val="en-US"/>
        </w:rPr>
        <w:t>Perthes</w:t>
      </w:r>
      <w:proofErr w:type="spellEnd"/>
      <w:r>
        <w:rPr>
          <w:u w:color="262626"/>
          <w:lang w:val="en-US"/>
        </w:rPr>
        <w:t xml:space="preserve"> disease. Part II: Prospective multicenter study of the effect of treatment on outcome.</w:t>
      </w:r>
    </w:p>
    <w:p w14:paraId="6C3758E6" w14:textId="77777777" w:rsidR="001A145D" w:rsidRDefault="001A145D" w:rsidP="008313C1">
      <w:pPr>
        <w:widowControl w:val="0"/>
        <w:autoSpaceDE w:val="0"/>
        <w:autoSpaceDN w:val="0"/>
        <w:adjustRightInd w:val="0"/>
      </w:pPr>
      <w:r>
        <w:t>JBJS Am</w:t>
      </w:r>
      <w:r>
        <w:tab/>
      </w:r>
      <w:r>
        <w:tab/>
        <w:t>Herring et al</w:t>
      </w:r>
      <w:r>
        <w:tab/>
      </w:r>
      <w:r>
        <w:tab/>
        <w:t>2004</w:t>
      </w:r>
    </w:p>
    <w:p w14:paraId="0227FB1B" w14:textId="77777777" w:rsidR="001A145D" w:rsidRDefault="001A145D" w:rsidP="008313C1">
      <w:pPr>
        <w:widowControl w:val="0"/>
        <w:autoSpaceDE w:val="0"/>
        <w:autoSpaceDN w:val="0"/>
        <w:adjustRightInd w:val="0"/>
      </w:pPr>
    </w:p>
    <w:p w14:paraId="12B7C2B5" w14:textId="33FDF160" w:rsidR="001A145D" w:rsidRDefault="001A145D" w:rsidP="008313C1">
      <w:pPr>
        <w:widowControl w:val="0"/>
        <w:autoSpaceDE w:val="0"/>
        <w:autoSpaceDN w:val="0"/>
        <w:adjustRightInd w:val="0"/>
      </w:pPr>
      <w:r>
        <w:t xml:space="preserve">438 patients (6-12 </w:t>
      </w:r>
      <w:proofErr w:type="spellStart"/>
      <w:r>
        <w:t>yrs</w:t>
      </w:r>
      <w:proofErr w:type="spellEnd"/>
      <w:r>
        <w:t>) – 451 hips – prospective multicentre study</w:t>
      </w:r>
    </w:p>
    <w:p w14:paraId="07A28C74" w14:textId="2CCF9E70" w:rsidR="001A145D" w:rsidRDefault="001A145D" w:rsidP="008313C1">
      <w:pPr>
        <w:widowControl w:val="0"/>
        <w:autoSpaceDE w:val="0"/>
        <w:autoSpaceDN w:val="0"/>
        <w:adjustRightInd w:val="0"/>
      </w:pPr>
      <w:r>
        <w:t>5 groups – No treatment, Brace, ROM exercises, Fem Osteotomy and innominate osteotomy</w:t>
      </w:r>
    </w:p>
    <w:p w14:paraId="6C566DE0" w14:textId="77777777" w:rsidR="001A145D" w:rsidRDefault="001A145D" w:rsidP="008313C1">
      <w:pPr>
        <w:widowControl w:val="0"/>
        <w:autoSpaceDE w:val="0"/>
        <w:autoSpaceDN w:val="0"/>
        <w:adjustRightInd w:val="0"/>
      </w:pPr>
    </w:p>
    <w:p w14:paraId="4450AEB7" w14:textId="77777777" w:rsidR="001A145D" w:rsidRDefault="001A145D" w:rsidP="001A145D">
      <w:pPr>
        <w:widowControl w:val="0"/>
        <w:autoSpaceDE w:val="0"/>
        <w:autoSpaceDN w:val="0"/>
        <w:adjustRightInd w:val="0"/>
        <w:rPr>
          <w:lang w:val="en-US"/>
        </w:rPr>
      </w:pPr>
      <w:r w:rsidRPr="001A145D">
        <w:rPr>
          <w:b/>
          <w:lang w:val="en-US"/>
        </w:rPr>
        <w:t>The lateral pillar classification and age at the time of onset of the disease strongly correlate with outcome in patients with Legg-Calve-</w:t>
      </w:r>
      <w:proofErr w:type="spellStart"/>
      <w:r w:rsidRPr="001A145D">
        <w:rPr>
          <w:b/>
          <w:lang w:val="en-US"/>
        </w:rPr>
        <w:t>Perthes</w:t>
      </w:r>
      <w:proofErr w:type="spellEnd"/>
      <w:r w:rsidRPr="001A145D">
        <w:rPr>
          <w:b/>
          <w:lang w:val="en-US"/>
        </w:rPr>
        <w:t xml:space="preserve"> disease.</w:t>
      </w:r>
      <w:r w:rsidRPr="001A145D">
        <w:rPr>
          <w:lang w:val="en-US"/>
        </w:rPr>
        <w:t xml:space="preserve"> </w:t>
      </w:r>
    </w:p>
    <w:p w14:paraId="2041AC26" w14:textId="00F4539F" w:rsidR="001A145D" w:rsidRDefault="001A145D" w:rsidP="001A145D">
      <w:pPr>
        <w:widowControl w:val="0"/>
        <w:autoSpaceDE w:val="0"/>
        <w:autoSpaceDN w:val="0"/>
        <w:adjustRightInd w:val="0"/>
        <w:rPr>
          <w:lang w:val="en-US"/>
        </w:rPr>
      </w:pPr>
      <w:r>
        <w:rPr>
          <w:lang w:val="en-US"/>
        </w:rPr>
        <w:t>&gt;8yrs – B &amp; B/C – better outcome with surgery</w:t>
      </w:r>
      <w:r w:rsidR="00AD2B31">
        <w:rPr>
          <w:lang w:val="en-US"/>
        </w:rPr>
        <w:t xml:space="preserve"> (</w:t>
      </w:r>
      <w:proofErr w:type="spellStart"/>
      <w:r w:rsidR="00AD2B31">
        <w:rPr>
          <w:lang w:val="en-US"/>
        </w:rPr>
        <w:t>Stulberg</w:t>
      </w:r>
      <w:proofErr w:type="spellEnd"/>
      <w:r w:rsidR="00AD2B31">
        <w:rPr>
          <w:lang w:val="en-US"/>
        </w:rPr>
        <w:t xml:space="preserve"> I or II)</w:t>
      </w:r>
    </w:p>
    <w:p w14:paraId="1F598064" w14:textId="77777777" w:rsidR="00AD2B31" w:rsidRDefault="001A145D" w:rsidP="001A145D">
      <w:pPr>
        <w:widowControl w:val="0"/>
        <w:autoSpaceDE w:val="0"/>
        <w:autoSpaceDN w:val="0"/>
        <w:adjustRightInd w:val="0"/>
        <w:rPr>
          <w:lang w:val="en-US"/>
        </w:rPr>
      </w:pPr>
      <w:r>
        <w:rPr>
          <w:lang w:val="en-US"/>
        </w:rPr>
        <w:t xml:space="preserve">&gt;8yrs – </w:t>
      </w:r>
      <w:proofErr w:type="spellStart"/>
      <w:r>
        <w:rPr>
          <w:lang w:val="en-US"/>
        </w:rPr>
        <w:t>upto</w:t>
      </w:r>
      <w:proofErr w:type="spellEnd"/>
      <w:r>
        <w:rPr>
          <w:lang w:val="en-US"/>
        </w:rPr>
        <w:t xml:space="preserve"> B – </w:t>
      </w:r>
      <w:proofErr w:type="spellStart"/>
      <w:r>
        <w:rPr>
          <w:lang w:val="en-US"/>
        </w:rPr>
        <w:t>favourable</w:t>
      </w:r>
      <w:proofErr w:type="spellEnd"/>
      <w:r>
        <w:rPr>
          <w:lang w:val="en-US"/>
        </w:rPr>
        <w:t xml:space="preserve"> outcome</w:t>
      </w:r>
      <w:r w:rsidR="00AD2B31">
        <w:rPr>
          <w:lang w:val="en-US"/>
        </w:rPr>
        <w:t xml:space="preserve"> regardless of treatment</w:t>
      </w:r>
    </w:p>
    <w:p w14:paraId="1BA43162" w14:textId="77777777" w:rsidR="00AD2B31" w:rsidRDefault="00AD2B31" w:rsidP="001A145D">
      <w:pPr>
        <w:widowControl w:val="0"/>
        <w:autoSpaceDE w:val="0"/>
        <w:autoSpaceDN w:val="0"/>
        <w:adjustRightInd w:val="0"/>
        <w:rPr>
          <w:lang w:val="en-US"/>
        </w:rPr>
      </w:pPr>
      <w:r>
        <w:rPr>
          <w:lang w:val="en-US"/>
        </w:rPr>
        <w:t>Group C – poor outcome regardless of treatment</w:t>
      </w:r>
    </w:p>
    <w:p w14:paraId="41821324" w14:textId="36C14D7F" w:rsidR="001A145D" w:rsidRPr="001A145D" w:rsidRDefault="001A145D" w:rsidP="001A145D">
      <w:pPr>
        <w:widowControl w:val="0"/>
        <w:autoSpaceDE w:val="0"/>
        <w:autoSpaceDN w:val="0"/>
        <w:adjustRightInd w:val="0"/>
        <w:rPr>
          <w:lang w:val="en-US"/>
        </w:rPr>
      </w:pPr>
      <w:proofErr w:type="gramStart"/>
      <w:r w:rsidRPr="001A145D">
        <w:rPr>
          <w:lang w:val="en-US"/>
        </w:rPr>
        <w:t>treatment</w:t>
      </w:r>
      <w:proofErr w:type="gramEnd"/>
      <w:r w:rsidRPr="001A145D">
        <w:rPr>
          <w:lang w:val="en-US"/>
        </w:rPr>
        <w:t>.</w:t>
      </w:r>
    </w:p>
    <w:p w14:paraId="4AC2196B" w14:textId="77777777" w:rsidR="001A145D" w:rsidRDefault="001A145D" w:rsidP="008313C1">
      <w:pPr>
        <w:widowControl w:val="0"/>
        <w:autoSpaceDE w:val="0"/>
        <w:autoSpaceDN w:val="0"/>
        <w:adjustRightInd w:val="0"/>
      </w:pPr>
    </w:p>
    <w:p w14:paraId="2BF51C0A" w14:textId="77777777" w:rsidR="008313C1" w:rsidRDefault="008313C1" w:rsidP="008313C1"/>
    <w:p w14:paraId="59932540" w14:textId="77777777" w:rsidR="003D0B1C" w:rsidRDefault="003D0B1C" w:rsidP="00AD2B31">
      <w:pPr>
        <w:pStyle w:val="Heading2"/>
        <w:rPr>
          <w:lang w:val="en-US"/>
        </w:rPr>
      </w:pPr>
      <w:r w:rsidRPr="003D0B1C">
        <w:rPr>
          <w:lang w:val="en-US"/>
        </w:rPr>
        <w:t xml:space="preserve">The medium-term results of the cemented Exeter femoral component in patients under 40 years of age </w:t>
      </w:r>
    </w:p>
    <w:p w14:paraId="4E920365" w14:textId="5C39CD94" w:rsidR="003D0B1C" w:rsidRPr="00AD2B31" w:rsidRDefault="00AD2B31" w:rsidP="003D0B1C">
      <w:pPr>
        <w:rPr>
          <w:bCs/>
          <w:sz w:val="32"/>
          <w:lang w:val="en-US"/>
        </w:rPr>
      </w:pPr>
      <w:r w:rsidRPr="00AD2B31">
        <w:rPr>
          <w:bCs/>
          <w:sz w:val="32"/>
          <w:lang w:val="en-US"/>
        </w:rPr>
        <w:t>Predominantly AVN patients</w:t>
      </w:r>
    </w:p>
    <w:p w14:paraId="52992AAF" w14:textId="309092E3" w:rsidR="003D0B1C" w:rsidRPr="00AD2B31" w:rsidRDefault="003D0B1C" w:rsidP="003D0B1C">
      <w:pPr>
        <w:rPr>
          <w:bCs/>
          <w:lang w:val="en-US"/>
        </w:rPr>
      </w:pPr>
      <w:r w:rsidRPr="00AD2B31">
        <w:rPr>
          <w:bCs/>
          <w:lang w:val="en-US"/>
        </w:rPr>
        <w:t xml:space="preserve">JBJS Br </w:t>
      </w:r>
      <w:r w:rsidR="00AD2B31" w:rsidRPr="00AD2B31">
        <w:rPr>
          <w:bCs/>
          <w:lang w:val="en-US"/>
        </w:rPr>
        <w:tab/>
      </w:r>
      <w:r w:rsidR="00AD2B31" w:rsidRPr="00AD2B31">
        <w:rPr>
          <w:bCs/>
          <w:lang w:val="en-US"/>
        </w:rPr>
        <w:tab/>
      </w:r>
      <w:proofErr w:type="spellStart"/>
      <w:r w:rsidR="00AD2B31" w:rsidRPr="00AD2B31">
        <w:rPr>
          <w:bCs/>
          <w:lang w:val="en-US"/>
        </w:rPr>
        <w:t>deKam</w:t>
      </w:r>
      <w:proofErr w:type="spellEnd"/>
      <w:r w:rsidR="00AD2B31" w:rsidRPr="00AD2B31">
        <w:rPr>
          <w:bCs/>
          <w:lang w:val="en-US"/>
        </w:rPr>
        <w:t xml:space="preserve"> et al</w:t>
      </w:r>
      <w:r w:rsidR="00AD2B31" w:rsidRPr="00AD2B31">
        <w:rPr>
          <w:bCs/>
          <w:lang w:val="en-US"/>
        </w:rPr>
        <w:tab/>
      </w:r>
      <w:r w:rsidR="00AD2B31" w:rsidRPr="00AD2B31">
        <w:rPr>
          <w:bCs/>
          <w:lang w:val="en-US"/>
        </w:rPr>
        <w:tab/>
      </w:r>
      <w:r w:rsidRPr="00AD2B31">
        <w:rPr>
          <w:bCs/>
          <w:lang w:val="en-US"/>
        </w:rPr>
        <w:t>2008</w:t>
      </w:r>
    </w:p>
    <w:p w14:paraId="550839F9" w14:textId="77777777" w:rsidR="00AD2B31" w:rsidRPr="00AD2B31" w:rsidRDefault="00AD2B31" w:rsidP="003D0B1C">
      <w:pPr>
        <w:rPr>
          <w:bCs/>
          <w:lang w:val="en-US"/>
        </w:rPr>
      </w:pPr>
    </w:p>
    <w:p w14:paraId="37A4E930" w14:textId="3125951D" w:rsidR="00AD2B31" w:rsidRPr="00AD2B31" w:rsidRDefault="00AD2B31" w:rsidP="003D0B1C">
      <w:pPr>
        <w:rPr>
          <w:bCs/>
          <w:lang w:val="en-US"/>
        </w:rPr>
      </w:pPr>
      <w:r w:rsidRPr="00AD2B31">
        <w:rPr>
          <w:bCs/>
          <w:lang w:val="en-US"/>
        </w:rPr>
        <w:t xml:space="preserve">104 THR in 78 </w:t>
      </w:r>
      <w:proofErr w:type="spellStart"/>
      <w:r w:rsidRPr="00AD2B31">
        <w:rPr>
          <w:bCs/>
          <w:lang w:val="en-US"/>
        </w:rPr>
        <w:t>patints</w:t>
      </w:r>
      <w:proofErr w:type="spellEnd"/>
    </w:p>
    <w:p w14:paraId="4C92A736" w14:textId="77777777" w:rsidR="00AD2B31" w:rsidRPr="00AD2B31" w:rsidRDefault="00AD2B31" w:rsidP="003D0B1C">
      <w:pPr>
        <w:rPr>
          <w:bCs/>
          <w:lang w:val="en-US"/>
        </w:rPr>
      </w:pPr>
    </w:p>
    <w:p w14:paraId="09D652DA" w14:textId="4B02A451" w:rsidR="00AD2B31" w:rsidRPr="00AD2B31" w:rsidRDefault="00AD2B31" w:rsidP="003D0B1C">
      <w:pPr>
        <w:rPr>
          <w:bCs/>
          <w:lang w:val="en-US"/>
        </w:rPr>
      </w:pPr>
      <w:bookmarkStart w:id="5" w:name="OLE_LINK5"/>
      <w:bookmarkStart w:id="6" w:name="OLE_LINK6"/>
      <w:r w:rsidRPr="00AD2B31">
        <w:rPr>
          <w:bCs/>
          <w:lang w:val="en-US"/>
        </w:rPr>
        <w:t>7yrs survival for aseptic femoral stem loosening – 100%</w:t>
      </w:r>
    </w:p>
    <w:bookmarkEnd w:id="5"/>
    <w:bookmarkEnd w:id="6"/>
    <w:p w14:paraId="58E93E23" w14:textId="28DDC58A" w:rsidR="00AD2B31" w:rsidRPr="00AD2B31" w:rsidRDefault="00AD2B31" w:rsidP="00AD2B31">
      <w:pPr>
        <w:rPr>
          <w:bCs/>
          <w:lang w:val="en-US"/>
        </w:rPr>
      </w:pPr>
      <w:r w:rsidRPr="00AD2B31">
        <w:rPr>
          <w:bCs/>
          <w:lang w:val="en-US"/>
        </w:rPr>
        <w:t>7yrs survival for all causes failure – 95.8%</w:t>
      </w:r>
    </w:p>
    <w:p w14:paraId="3F668BF2" w14:textId="77777777" w:rsidR="00AD2B31" w:rsidRDefault="00AD2B31" w:rsidP="003D0B1C">
      <w:pPr>
        <w:rPr>
          <w:b/>
          <w:bCs/>
          <w:lang w:val="en-US"/>
        </w:rPr>
      </w:pPr>
    </w:p>
    <w:p w14:paraId="0D3F001F" w14:textId="77777777" w:rsidR="00BF2F42" w:rsidRDefault="00BF2F42" w:rsidP="00AD2B31">
      <w:pPr>
        <w:pStyle w:val="Heading2"/>
        <w:rPr>
          <w:lang w:val="en-US"/>
        </w:rPr>
      </w:pPr>
      <w:proofErr w:type="spellStart"/>
      <w:r>
        <w:rPr>
          <w:lang w:val="en-US"/>
        </w:rPr>
        <w:t>Cauda</w:t>
      </w:r>
      <w:proofErr w:type="spellEnd"/>
      <w:r>
        <w:rPr>
          <w:lang w:val="en-US"/>
        </w:rPr>
        <w:t xml:space="preserve"> </w:t>
      </w:r>
      <w:proofErr w:type="spellStart"/>
      <w:r>
        <w:rPr>
          <w:lang w:val="en-US"/>
        </w:rPr>
        <w:t>equina</w:t>
      </w:r>
      <w:proofErr w:type="spellEnd"/>
      <w:r>
        <w:rPr>
          <w:lang w:val="en-US"/>
        </w:rPr>
        <w:t xml:space="preserve"> syndrome treated by surgical decompression: the influence of timing on surgical outcome</w:t>
      </w:r>
    </w:p>
    <w:p w14:paraId="69B5C11E" w14:textId="77777777" w:rsidR="00AD2B31" w:rsidRDefault="00AD2B31" w:rsidP="00BF2F42">
      <w:pPr>
        <w:widowControl w:val="0"/>
        <w:autoSpaceDE w:val="0"/>
        <w:autoSpaceDN w:val="0"/>
        <w:adjustRightInd w:val="0"/>
      </w:pPr>
      <w:proofErr w:type="spellStart"/>
      <w:r>
        <w:t>Eur</w:t>
      </w:r>
      <w:proofErr w:type="spellEnd"/>
      <w:r>
        <w:t xml:space="preserve"> Spine J</w:t>
      </w:r>
      <w:r>
        <w:tab/>
      </w:r>
      <w:r>
        <w:tab/>
      </w:r>
      <w:proofErr w:type="spellStart"/>
      <w:r>
        <w:t>Qureshi</w:t>
      </w:r>
      <w:proofErr w:type="spellEnd"/>
      <w:r>
        <w:t xml:space="preserve"> et al</w:t>
      </w:r>
      <w:r>
        <w:tab/>
      </w:r>
      <w:r>
        <w:tab/>
        <w:t>2007</w:t>
      </w:r>
    </w:p>
    <w:p w14:paraId="364990B3" w14:textId="77777777" w:rsidR="00AD2B31" w:rsidRDefault="00AD2B31" w:rsidP="00BF2F42">
      <w:pPr>
        <w:widowControl w:val="0"/>
        <w:autoSpaceDE w:val="0"/>
        <w:autoSpaceDN w:val="0"/>
        <w:adjustRightInd w:val="0"/>
      </w:pPr>
    </w:p>
    <w:p w14:paraId="76D3A31F" w14:textId="0C96C8F9" w:rsidR="00AD2B31" w:rsidRDefault="00AD2B31" w:rsidP="00BF2F42">
      <w:pPr>
        <w:widowControl w:val="0"/>
        <w:autoSpaceDE w:val="0"/>
        <w:autoSpaceDN w:val="0"/>
        <w:adjustRightInd w:val="0"/>
      </w:pPr>
      <w:r>
        <w:t xml:space="preserve">Prospective cohort study – 33 </w:t>
      </w:r>
      <w:proofErr w:type="spellStart"/>
      <w:r>
        <w:t>pts</w:t>
      </w:r>
      <w:proofErr w:type="spellEnd"/>
    </w:p>
    <w:p w14:paraId="34D93A1A" w14:textId="77777777" w:rsidR="00AD2B31" w:rsidRDefault="00AD2B31" w:rsidP="00BF2F42">
      <w:pPr>
        <w:widowControl w:val="0"/>
        <w:autoSpaceDE w:val="0"/>
        <w:autoSpaceDN w:val="0"/>
        <w:adjustRightInd w:val="0"/>
      </w:pPr>
    </w:p>
    <w:p w14:paraId="05EE537C" w14:textId="77777777" w:rsidR="00837DF9" w:rsidRPr="00837DF9" w:rsidRDefault="00837DF9" w:rsidP="00837DF9">
      <w:pPr>
        <w:pStyle w:val="ListParagraph"/>
        <w:widowControl w:val="0"/>
        <w:numPr>
          <w:ilvl w:val="0"/>
          <w:numId w:val="8"/>
        </w:numPr>
        <w:autoSpaceDE w:val="0"/>
        <w:autoSpaceDN w:val="0"/>
        <w:adjustRightInd w:val="0"/>
        <w:rPr>
          <w:lang w:val="en-US"/>
        </w:rPr>
      </w:pPr>
      <w:r w:rsidRPr="00837DF9">
        <w:rPr>
          <w:lang w:val="en-US"/>
        </w:rPr>
        <w:t>No significant difference in outcome with length of time to surgery</w:t>
      </w:r>
    </w:p>
    <w:p w14:paraId="208ED0A2" w14:textId="77777777" w:rsidR="00837DF9" w:rsidRPr="00837DF9" w:rsidRDefault="00837DF9" w:rsidP="00837DF9">
      <w:pPr>
        <w:pStyle w:val="ListParagraph"/>
        <w:widowControl w:val="0"/>
        <w:numPr>
          <w:ilvl w:val="0"/>
          <w:numId w:val="8"/>
        </w:numPr>
        <w:autoSpaceDE w:val="0"/>
        <w:autoSpaceDN w:val="0"/>
        <w:adjustRightInd w:val="0"/>
        <w:rPr>
          <w:lang w:val="en-US"/>
        </w:rPr>
      </w:pPr>
      <w:r w:rsidRPr="00837DF9">
        <w:rPr>
          <w:lang w:val="en-US"/>
        </w:rPr>
        <w:t>Significantly better outcome in patients who were continent of urine at presentation</w:t>
      </w:r>
    </w:p>
    <w:p w14:paraId="2632B4B9" w14:textId="77777777" w:rsidR="00837DF9" w:rsidRPr="00837DF9" w:rsidRDefault="00837DF9" w:rsidP="00837DF9">
      <w:pPr>
        <w:pStyle w:val="ListParagraph"/>
        <w:widowControl w:val="0"/>
        <w:numPr>
          <w:ilvl w:val="0"/>
          <w:numId w:val="8"/>
        </w:numPr>
        <w:autoSpaceDE w:val="0"/>
        <w:autoSpaceDN w:val="0"/>
        <w:adjustRightInd w:val="0"/>
        <w:rPr>
          <w:lang w:val="en-US"/>
        </w:rPr>
      </w:pPr>
      <w:r w:rsidRPr="00837DF9">
        <w:rPr>
          <w:lang w:val="en-US"/>
        </w:rPr>
        <w:t>Severity of bladder dysfunction at presentation determines recovery of bladder function</w:t>
      </w:r>
    </w:p>
    <w:p w14:paraId="245843AD" w14:textId="77777777" w:rsidR="00837DF9" w:rsidRDefault="00837DF9" w:rsidP="00837DF9">
      <w:pPr>
        <w:pStyle w:val="Heading2"/>
        <w:rPr>
          <w:lang w:val="en-US"/>
        </w:rPr>
      </w:pPr>
    </w:p>
    <w:p w14:paraId="6A15F3AF" w14:textId="77777777" w:rsidR="00015260" w:rsidRDefault="00015260" w:rsidP="00837DF9">
      <w:pPr>
        <w:pStyle w:val="Heading2"/>
        <w:rPr>
          <w:lang w:val="en-US"/>
        </w:rPr>
      </w:pPr>
      <w:r>
        <w:rPr>
          <w:lang w:val="en-US"/>
        </w:rPr>
        <w:t xml:space="preserve">Effect of ultraclean air in operating rooms on deep sepsis in the joint after total hip or knee replacement: a </w:t>
      </w:r>
      <w:proofErr w:type="spellStart"/>
      <w:r>
        <w:rPr>
          <w:lang w:val="en-US"/>
        </w:rPr>
        <w:t>randomised</w:t>
      </w:r>
      <w:proofErr w:type="spellEnd"/>
      <w:r>
        <w:rPr>
          <w:lang w:val="en-US"/>
        </w:rPr>
        <w:t xml:space="preserve"> study.</w:t>
      </w:r>
    </w:p>
    <w:p w14:paraId="692910B9" w14:textId="77777777" w:rsidR="00837DF9" w:rsidRDefault="00837DF9" w:rsidP="00015260">
      <w:pPr>
        <w:widowControl w:val="0"/>
        <w:autoSpaceDE w:val="0"/>
        <w:autoSpaceDN w:val="0"/>
        <w:adjustRightInd w:val="0"/>
        <w:rPr>
          <w:rFonts w:cs="Times"/>
          <w:iCs/>
          <w:color w:val="262626"/>
          <w:szCs w:val="31"/>
          <w:lang w:val="en-US"/>
        </w:rPr>
      </w:pPr>
      <w:proofErr w:type="spellStart"/>
      <w:r w:rsidRPr="00837DF9">
        <w:rPr>
          <w:rFonts w:cs="Times"/>
          <w:iCs/>
          <w:color w:val="262626"/>
          <w:szCs w:val="31"/>
          <w:lang w:val="en-US"/>
        </w:rPr>
        <w:t>Lidwell</w:t>
      </w:r>
      <w:proofErr w:type="spellEnd"/>
      <w:r w:rsidRPr="00837DF9">
        <w:rPr>
          <w:rFonts w:cs="Times"/>
          <w:iCs/>
          <w:color w:val="262626"/>
          <w:szCs w:val="31"/>
          <w:lang w:val="en-US"/>
        </w:rPr>
        <w:t xml:space="preserve"> et al</w:t>
      </w:r>
      <w:r w:rsidRPr="00837DF9">
        <w:rPr>
          <w:rFonts w:cs="Times"/>
          <w:iCs/>
          <w:color w:val="262626"/>
          <w:szCs w:val="31"/>
          <w:lang w:val="en-US"/>
        </w:rPr>
        <w:tab/>
      </w:r>
      <w:r w:rsidRPr="00837DF9">
        <w:rPr>
          <w:rFonts w:cs="Times"/>
          <w:iCs/>
          <w:color w:val="262626"/>
          <w:szCs w:val="31"/>
          <w:lang w:val="en-US"/>
        </w:rPr>
        <w:tab/>
        <w:t>BMJ</w:t>
      </w:r>
      <w:r w:rsidRPr="00837DF9">
        <w:rPr>
          <w:rFonts w:cs="Times"/>
          <w:iCs/>
          <w:color w:val="262626"/>
          <w:szCs w:val="31"/>
          <w:lang w:val="en-US"/>
        </w:rPr>
        <w:tab/>
      </w:r>
      <w:r w:rsidRPr="00837DF9">
        <w:rPr>
          <w:rFonts w:cs="Times"/>
          <w:iCs/>
          <w:color w:val="262626"/>
          <w:szCs w:val="31"/>
          <w:lang w:val="en-US"/>
        </w:rPr>
        <w:tab/>
        <w:t>1982</w:t>
      </w:r>
    </w:p>
    <w:p w14:paraId="18AF438F" w14:textId="77777777" w:rsidR="00837DF9" w:rsidRDefault="00837DF9" w:rsidP="00015260">
      <w:pPr>
        <w:widowControl w:val="0"/>
        <w:autoSpaceDE w:val="0"/>
        <w:autoSpaceDN w:val="0"/>
        <w:adjustRightInd w:val="0"/>
        <w:rPr>
          <w:rFonts w:cs="Times"/>
          <w:iCs/>
          <w:color w:val="262626"/>
          <w:szCs w:val="31"/>
          <w:lang w:val="en-US"/>
        </w:rPr>
      </w:pPr>
    </w:p>
    <w:p w14:paraId="16BF822B" w14:textId="40DF1C59" w:rsidR="00837DF9" w:rsidRDefault="00837DF9" w:rsidP="00015260">
      <w:pPr>
        <w:widowControl w:val="0"/>
        <w:autoSpaceDE w:val="0"/>
        <w:autoSpaceDN w:val="0"/>
        <w:adjustRightInd w:val="0"/>
        <w:rPr>
          <w:rFonts w:cs="Times"/>
          <w:iCs/>
          <w:color w:val="262626"/>
          <w:szCs w:val="31"/>
          <w:lang w:val="en-US"/>
        </w:rPr>
      </w:pPr>
      <w:r>
        <w:rPr>
          <w:rFonts w:cs="Times"/>
          <w:iCs/>
          <w:color w:val="262626"/>
          <w:szCs w:val="31"/>
          <w:lang w:val="en-US"/>
        </w:rPr>
        <w:t xml:space="preserve">MRC – </w:t>
      </w:r>
      <w:proofErr w:type="spellStart"/>
      <w:r>
        <w:rPr>
          <w:rFonts w:cs="Times"/>
          <w:iCs/>
          <w:color w:val="262626"/>
          <w:szCs w:val="31"/>
          <w:lang w:val="en-US"/>
        </w:rPr>
        <w:t>Multicentre</w:t>
      </w:r>
      <w:proofErr w:type="spellEnd"/>
      <w:r>
        <w:rPr>
          <w:rFonts w:cs="Times"/>
          <w:iCs/>
          <w:color w:val="262626"/>
          <w:szCs w:val="31"/>
          <w:lang w:val="en-US"/>
        </w:rPr>
        <w:t xml:space="preserve"> – THR and TKR – control and ultra-clean – 8000 ops</w:t>
      </w:r>
    </w:p>
    <w:p w14:paraId="7CEA90CE" w14:textId="77777777" w:rsidR="00A95DF0" w:rsidRDefault="00A95DF0" w:rsidP="00015260">
      <w:pPr>
        <w:widowControl w:val="0"/>
        <w:autoSpaceDE w:val="0"/>
        <w:autoSpaceDN w:val="0"/>
        <w:adjustRightInd w:val="0"/>
        <w:rPr>
          <w:rFonts w:cs="Times"/>
          <w:iCs/>
          <w:color w:val="262626"/>
          <w:szCs w:val="31"/>
          <w:lang w:val="en-US"/>
        </w:rPr>
      </w:pPr>
    </w:p>
    <w:p w14:paraId="4DC23A80" w14:textId="2F9473F2" w:rsidR="00A95DF0" w:rsidRDefault="00A95DF0" w:rsidP="00015260">
      <w:pPr>
        <w:widowControl w:val="0"/>
        <w:autoSpaceDE w:val="0"/>
        <w:autoSpaceDN w:val="0"/>
        <w:adjustRightInd w:val="0"/>
        <w:rPr>
          <w:rFonts w:cs="Times"/>
          <w:iCs/>
          <w:color w:val="262626"/>
          <w:szCs w:val="31"/>
          <w:lang w:val="en-US"/>
        </w:rPr>
      </w:pPr>
      <w:r>
        <w:rPr>
          <w:rFonts w:cs="Times"/>
          <w:iCs/>
          <w:color w:val="262626"/>
          <w:szCs w:val="31"/>
          <w:lang w:val="en-US"/>
        </w:rPr>
        <w:t xml:space="preserve">Control </w:t>
      </w:r>
      <w:proofErr w:type="spellStart"/>
      <w:r>
        <w:rPr>
          <w:rFonts w:cs="Times"/>
          <w:iCs/>
          <w:color w:val="262626"/>
          <w:szCs w:val="31"/>
          <w:lang w:val="en-US"/>
        </w:rPr>
        <w:t>Vs</w:t>
      </w:r>
      <w:proofErr w:type="spellEnd"/>
      <w:r>
        <w:rPr>
          <w:rFonts w:cs="Times"/>
          <w:iCs/>
          <w:color w:val="262626"/>
          <w:szCs w:val="31"/>
          <w:lang w:val="en-US"/>
        </w:rPr>
        <w:t xml:space="preserve"> Ultra Clean - Deep Sepsis – 1.5</w:t>
      </w:r>
      <w:proofErr w:type="gramStart"/>
      <w:r>
        <w:rPr>
          <w:rFonts w:cs="Times"/>
          <w:iCs/>
          <w:color w:val="262626"/>
          <w:szCs w:val="31"/>
          <w:lang w:val="en-US"/>
        </w:rPr>
        <w:t>%  to</w:t>
      </w:r>
      <w:proofErr w:type="gramEnd"/>
      <w:r>
        <w:rPr>
          <w:rFonts w:cs="Times"/>
          <w:iCs/>
          <w:color w:val="262626"/>
          <w:szCs w:val="31"/>
          <w:lang w:val="en-US"/>
        </w:rPr>
        <w:t xml:space="preserve"> 0.6% (Factor 2.6)</w:t>
      </w:r>
    </w:p>
    <w:p w14:paraId="6FE101BE" w14:textId="00960667" w:rsidR="00A95DF0" w:rsidRDefault="00A95DF0" w:rsidP="00015260">
      <w:pPr>
        <w:widowControl w:val="0"/>
        <w:autoSpaceDE w:val="0"/>
        <w:autoSpaceDN w:val="0"/>
        <w:adjustRightInd w:val="0"/>
        <w:rPr>
          <w:rFonts w:cs="Times"/>
          <w:iCs/>
          <w:color w:val="262626"/>
          <w:szCs w:val="31"/>
          <w:lang w:val="en-US"/>
        </w:rPr>
      </w:pPr>
      <w:r>
        <w:rPr>
          <w:rFonts w:cs="Times"/>
          <w:iCs/>
          <w:color w:val="262626"/>
          <w:szCs w:val="31"/>
          <w:lang w:val="en-US"/>
        </w:rPr>
        <w:t xml:space="preserve">Prophylactic </w:t>
      </w:r>
      <w:proofErr w:type="spellStart"/>
      <w:r>
        <w:rPr>
          <w:rFonts w:cs="Times"/>
          <w:iCs/>
          <w:color w:val="262626"/>
          <w:szCs w:val="31"/>
          <w:lang w:val="en-US"/>
        </w:rPr>
        <w:t>Abx</w:t>
      </w:r>
      <w:proofErr w:type="spellEnd"/>
      <w:r>
        <w:rPr>
          <w:rFonts w:cs="Times"/>
          <w:iCs/>
          <w:color w:val="262626"/>
          <w:szCs w:val="31"/>
          <w:lang w:val="en-US"/>
        </w:rPr>
        <w:t xml:space="preserve"> – Deep Sepsis – 2.3% to 0.6% (Factor 4)</w:t>
      </w:r>
    </w:p>
    <w:p w14:paraId="092A7366" w14:textId="77777777" w:rsidR="00A95DF0" w:rsidRDefault="00A95DF0" w:rsidP="00015260">
      <w:pPr>
        <w:widowControl w:val="0"/>
        <w:autoSpaceDE w:val="0"/>
        <w:autoSpaceDN w:val="0"/>
        <w:adjustRightInd w:val="0"/>
        <w:rPr>
          <w:rFonts w:cs="Times"/>
          <w:iCs/>
          <w:color w:val="262626"/>
          <w:szCs w:val="31"/>
          <w:lang w:val="en-US"/>
        </w:rPr>
      </w:pPr>
    </w:p>
    <w:p w14:paraId="451AC944" w14:textId="77777777" w:rsidR="0050193E" w:rsidRDefault="0050193E" w:rsidP="00015260">
      <w:pPr>
        <w:rPr>
          <w:rFonts w:ascii="Times" w:hAnsi="Times" w:cs="Times"/>
          <w:color w:val="262626"/>
          <w:sz w:val="31"/>
          <w:szCs w:val="31"/>
          <w:lang w:val="en-US"/>
        </w:rPr>
      </w:pPr>
    </w:p>
    <w:p w14:paraId="348AD713" w14:textId="77777777" w:rsidR="0050193E" w:rsidRDefault="0050193E" w:rsidP="0003263E">
      <w:pPr>
        <w:pStyle w:val="Heading2"/>
        <w:rPr>
          <w:u w:color="262626"/>
          <w:lang w:val="en-US"/>
        </w:rPr>
      </w:pPr>
      <w:r>
        <w:rPr>
          <w:u w:color="262626"/>
          <w:lang w:val="en-US"/>
        </w:rPr>
        <w:t xml:space="preserve">Risk factors for vascular repair and compartment syndrome in the pulseless supracondylar </w:t>
      </w:r>
      <w:proofErr w:type="spellStart"/>
      <w:r>
        <w:rPr>
          <w:u w:color="262626"/>
          <w:lang w:val="en-US"/>
        </w:rPr>
        <w:t>humerus</w:t>
      </w:r>
      <w:proofErr w:type="spellEnd"/>
      <w:r>
        <w:rPr>
          <w:u w:color="262626"/>
          <w:lang w:val="en-US"/>
        </w:rPr>
        <w:t xml:space="preserve"> fracture in children.</w:t>
      </w:r>
    </w:p>
    <w:p w14:paraId="09DF4224" w14:textId="77777777" w:rsidR="0003263E" w:rsidRDefault="0003263E" w:rsidP="0050193E">
      <w:pPr>
        <w:widowControl w:val="0"/>
        <w:autoSpaceDE w:val="0"/>
        <w:autoSpaceDN w:val="0"/>
        <w:adjustRightInd w:val="0"/>
      </w:pPr>
      <w:r>
        <w:t xml:space="preserve">J </w:t>
      </w:r>
      <w:proofErr w:type="spellStart"/>
      <w:r>
        <w:t>Paed</w:t>
      </w:r>
      <w:proofErr w:type="spellEnd"/>
      <w:r>
        <w:t xml:space="preserve"> Ortho</w:t>
      </w:r>
      <w:r>
        <w:tab/>
      </w:r>
      <w:r>
        <w:tab/>
        <w:t>Choi et al</w:t>
      </w:r>
      <w:r>
        <w:tab/>
      </w:r>
      <w:r>
        <w:tab/>
        <w:t>2010</w:t>
      </w:r>
    </w:p>
    <w:p w14:paraId="70F392A5" w14:textId="77777777" w:rsidR="0003263E" w:rsidRDefault="0003263E" w:rsidP="0050193E">
      <w:pPr>
        <w:widowControl w:val="0"/>
        <w:autoSpaceDE w:val="0"/>
        <w:autoSpaceDN w:val="0"/>
        <w:adjustRightInd w:val="0"/>
      </w:pPr>
    </w:p>
    <w:p w14:paraId="1AFD9430" w14:textId="522887FF" w:rsidR="00250FC8" w:rsidRPr="007D7A94" w:rsidRDefault="00250FC8" w:rsidP="0050193E">
      <w:pPr>
        <w:widowControl w:val="0"/>
        <w:autoSpaceDE w:val="0"/>
        <w:autoSpaceDN w:val="0"/>
        <w:adjustRightInd w:val="0"/>
        <w:rPr>
          <w:rFonts w:cs="Arial"/>
          <w:u w:color="262626"/>
          <w:lang w:val="en-US"/>
        </w:rPr>
      </w:pPr>
      <w:r w:rsidRPr="007D7A94">
        <w:rPr>
          <w:rFonts w:cs="Arial"/>
          <w:u w:color="262626"/>
          <w:lang w:val="en-US"/>
        </w:rPr>
        <w:t>1255 SC# - 33 absent pulses (2.6%)</w:t>
      </w:r>
    </w:p>
    <w:p w14:paraId="5EDEB263" w14:textId="77777777" w:rsidR="00440848" w:rsidRPr="007D7A94" w:rsidRDefault="00250FC8" w:rsidP="0050193E">
      <w:pPr>
        <w:widowControl w:val="0"/>
        <w:autoSpaceDE w:val="0"/>
        <w:autoSpaceDN w:val="0"/>
        <w:adjustRightInd w:val="0"/>
        <w:rPr>
          <w:rFonts w:cs="Arial"/>
          <w:u w:color="262626"/>
          <w:lang w:val="en-US"/>
        </w:rPr>
      </w:pPr>
      <w:r w:rsidRPr="007D7A94">
        <w:rPr>
          <w:rFonts w:cs="Arial"/>
          <w:u w:color="262626"/>
          <w:lang w:val="en-US"/>
        </w:rPr>
        <w:t xml:space="preserve">Well-perfused hand - fracture reduction alone was sufficient </w:t>
      </w:r>
      <w:r w:rsidR="00440848" w:rsidRPr="007D7A94">
        <w:rPr>
          <w:rFonts w:cs="Arial"/>
          <w:u w:color="262626"/>
          <w:lang w:val="en-US"/>
        </w:rPr>
        <w:t xml:space="preserve">- </w:t>
      </w:r>
      <w:r w:rsidRPr="007D7A94">
        <w:rPr>
          <w:rFonts w:cs="Arial"/>
          <w:u w:color="262626"/>
          <w:lang w:val="en-US"/>
        </w:rPr>
        <w:t xml:space="preserve">no patients developed compartment syndrome. </w:t>
      </w:r>
    </w:p>
    <w:p w14:paraId="28E52691" w14:textId="77777777" w:rsidR="00440848" w:rsidRPr="007D7A94" w:rsidRDefault="00440848" w:rsidP="0050193E">
      <w:pPr>
        <w:widowControl w:val="0"/>
        <w:autoSpaceDE w:val="0"/>
        <w:autoSpaceDN w:val="0"/>
        <w:adjustRightInd w:val="0"/>
        <w:rPr>
          <w:rFonts w:cs="Arial"/>
          <w:u w:color="262626"/>
          <w:lang w:val="en-US"/>
        </w:rPr>
      </w:pPr>
      <w:r w:rsidRPr="007D7A94">
        <w:rPr>
          <w:rFonts w:cs="Arial"/>
          <w:u w:color="262626"/>
          <w:lang w:val="en-US"/>
        </w:rPr>
        <w:t>50% had absent pulses even after - yet did well clinically</w:t>
      </w:r>
    </w:p>
    <w:p w14:paraId="110D9C0E" w14:textId="7A054E95" w:rsidR="00250FC8" w:rsidRPr="007D7A94" w:rsidRDefault="00250FC8" w:rsidP="0050193E">
      <w:pPr>
        <w:widowControl w:val="0"/>
        <w:autoSpaceDE w:val="0"/>
        <w:autoSpaceDN w:val="0"/>
        <w:adjustRightInd w:val="0"/>
        <w:rPr>
          <w:rFonts w:cs="Arial"/>
          <w:u w:color="262626"/>
          <w:lang w:val="en-US"/>
        </w:rPr>
      </w:pPr>
      <w:r w:rsidRPr="007D7A94">
        <w:rPr>
          <w:rFonts w:cs="Arial"/>
          <w:u w:color="262626"/>
          <w:lang w:val="en-US"/>
        </w:rPr>
        <w:t>Patients presenting with a poorly perfused hand are at high risk for vascular repair and compartment syndrome.</w:t>
      </w:r>
    </w:p>
    <w:p w14:paraId="4E3CCB43" w14:textId="77777777" w:rsidR="003A50B1" w:rsidRDefault="003A50B1" w:rsidP="0050193E">
      <w:pPr>
        <w:rPr>
          <w:rFonts w:ascii="Arial" w:hAnsi="Arial" w:cs="Arial"/>
          <w:sz w:val="26"/>
          <w:szCs w:val="26"/>
          <w:u w:color="262626"/>
          <w:lang w:val="en-US"/>
        </w:rPr>
      </w:pPr>
    </w:p>
    <w:p w14:paraId="3508233C" w14:textId="77777777" w:rsidR="003A50B1" w:rsidRDefault="003A50B1" w:rsidP="00440848">
      <w:pPr>
        <w:pStyle w:val="Heading2"/>
        <w:rPr>
          <w:u w:color="262626"/>
          <w:lang w:val="en-US"/>
        </w:rPr>
      </w:pPr>
      <w:r>
        <w:rPr>
          <w:u w:color="262626"/>
          <w:lang w:val="en-US"/>
        </w:rPr>
        <w:t>Management of the pediatric pulseless supracondylar humeral fracture: is vascular exploration necessary?</w:t>
      </w:r>
    </w:p>
    <w:p w14:paraId="7F3A7D70" w14:textId="1722CFCD" w:rsidR="00440848" w:rsidRDefault="00440848" w:rsidP="003A50B1">
      <w:pPr>
        <w:widowControl w:val="0"/>
        <w:autoSpaceDE w:val="0"/>
        <w:autoSpaceDN w:val="0"/>
        <w:adjustRightInd w:val="0"/>
      </w:pPr>
      <w:r>
        <w:t>JBJS Am</w:t>
      </w:r>
      <w:r>
        <w:tab/>
      </w:r>
      <w:r>
        <w:tab/>
        <w:t>Weller et al</w:t>
      </w:r>
      <w:r>
        <w:tab/>
      </w:r>
      <w:r>
        <w:tab/>
        <w:t>2013</w:t>
      </w:r>
    </w:p>
    <w:p w14:paraId="702810A7" w14:textId="77777777" w:rsidR="003A50B1" w:rsidRDefault="003A50B1" w:rsidP="003A50B1">
      <w:pPr>
        <w:widowControl w:val="0"/>
        <w:autoSpaceDE w:val="0"/>
        <w:autoSpaceDN w:val="0"/>
        <w:adjustRightInd w:val="0"/>
      </w:pPr>
    </w:p>
    <w:p w14:paraId="41F140D6" w14:textId="098EFF63" w:rsidR="00440848" w:rsidRDefault="00440848" w:rsidP="003A50B1">
      <w:pPr>
        <w:widowControl w:val="0"/>
        <w:autoSpaceDE w:val="0"/>
        <w:autoSpaceDN w:val="0"/>
        <w:adjustRightInd w:val="0"/>
      </w:pPr>
      <w:r>
        <w:t xml:space="preserve">1297 – 10% with </w:t>
      </w:r>
      <w:proofErr w:type="spellStart"/>
      <w:r>
        <w:t>Gartland</w:t>
      </w:r>
      <w:proofErr w:type="spellEnd"/>
      <w:r>
        <w:t xml:space="preserve"> 3 had absent pulse</w:t>
      </w:r>
    </w:p>
    <w:p w14:paraId="17CC0957" w14:textId="77777777" w:rsidR="00440848" w:rsidRDefault="00440848" w:rsidP="003A50B1">
      <w:pPr>
        <w:widowControl w:val="0"/>
        <w:autoSpaceDE w:val="0"/>
        <w:autoSpaceDN w:val="0"/>
        <w:adjustRightInd w:val="0"/>
      </w:pPr>
    </w:p>
    <w:p w14:paraId="1424596E" w14:textId="77777777" w:rsidR="00440848" w:rsidRDefault="00440848" w:rsidP="003A50B1">
      <w:pPr>
        <w:widowControl w:val="0"/>
        <w:autoSpaceDE w:val="0"/>
        <w:autoSpaceDN w:val="0"/>
        <w:adjustRightInd w:val="0"/>
        <w:rPr>
          <w:rFonts w:ascii="Arial" w:hAnsi="Arial" w:cs="Arial"/>
          <w:sz w:val="26"/>
          <w:szCs w:val="26"/>
          <w:u w:color="262626"/>
          <w:lang w:val="en-US"/>
        </w:rPr>
      </w:pPr>
      <w:r>
        <w:rPr>
          <w:rFonts w:ascii="Arial" w:hAnsi="Arial" w:cs="Arial"/>
          <w:sz w:val="26"/>
          <w:szCs w:val="26"/>
          <w:u w:color="262626"/>
          <w:lang w:val="en-US"/>
        </w:rPr>
        <w:t>L</w:t>
      </w:r>
      <w:r w:rsidRPr="00440848">
        <w:rPr>
          <w:rFonts w:ascii="Arial" w:hAnsi="Arial" w:cs="Arial"/>
          <w:sz w:val="26"/>
          <w:szCs w:val="26"/>
          <w:u w:color="262626"/>
          <w:lang w:val="en-US"/>
        </w:rPr>
        <w:t>ack of a palpable radial pulse after closed reduction and percutaneous pinning was not an absolute indication to proceed with vascular exploration if clinical findings (i.e., Doppler signal and capillary refill) sugges</w:t>
      </w:r>
      <w:r>
        <w:rPr>
          <w:rFonts w:ascii="Arial" w:hAnsi="Arial" w:cs="Arial"/>
          <w:sz w:val="26"/>
          <w:szCs w:val="26"/>
          <w:u w:color="262626"/>
          <w:lang w:val="en-US"/>
        </w:rPr>
        <w:t>ted that the limb was perfused</w:t>
      </w:r>
    </w:p>
    <w:p w14:paraId="56CE0FE9" w14:textId="77777777" w:rsidR="00440848" w:rsidRDefault="00440848" w:rsidP="003A50B1">
      <w:pPr>
        <w:widowControl w:val="0"/>
        <w:autoSpaceDE w:val="0"/>
        <w:autoSpaceDN w:val="0"/>
        <w:adjustRightInd w:val="0"/>
        <w:rPr>
          <w:rFonts w:ascii="Arial" w:hAnsi="Arial" w:cs="Arial"/>
          <w:sz w:val="26"/>
          <w:szCs w:val="26"/>
          <w:u w:color="262626"/>
          <w:lang w:val="en-US"/>
        </w:rPr>
      </w:pPr>
    </w:p>
    <w:p w14:paraId="4DE835F5" w14:textId="51878389" w:rsidR="00440848" w:rsidRDefault="00440848" w:rsidP="003A50B1">
      <w:pPr>
        <w:widowControl w:val="0"/>
        <w:autoSpaceDE w:val="0"/>
        <w:autoSpaceDN w:val="0"/>
        <w:adjustRightInd w:val="0"/>
        <w:rPr>
          <w:rFonts w:ascii="Arial" w:hAnsi="Arial" w:cs="Arial"/>
          <w:sz w:val="26"/>
          <w:szCs w:val="26"/>
          <w:u w:color="262626"/>
          <w:lang w:val="en-US"/>
        </w:rPr>
      </w:pPr>
      <w:r w:rsidRPr="00440848">
        <w:rPr>
          <w:rFonts w:ascii="Arial" w:hAnsi="Arial" w:cs="Arial"/>
          <w:sz w:val="26"/>
          <w:szCs w:val="26"/>
          <w:u w:color="262626"/>
          <w:lang w:val="en-US"/>
        </w:rPr>
        <w:t>Careful inpatient monitoring of these patients postoperatively is mandatory to identify late-developing vascular compromise.</w:t>
      </w:r>
    </w:p>
    <w:p w14:paraId="5CC1A977" w14:textId="77777777" w:rsidR="006E3FBD" w:rsidRDefault="006E3FBD" w:rsidP="00BF2F42"/>
    <w:p w14:paraId="6AD9077D" w14:textId="77777777" w:rsidR="006E3FBD" w:rsidRPr="0055443D" w:rsidRDefault="006E3FBD" w:rsidP="006E3FBD">
      <w:pPr>
        <w:pStyle w:val="Heading2"/>
        <w:rPr>
          <w:u w:color="243778"/>
          <w:lang w:val="en-US"/>
        </w:rPr>
      </w:pPr>
      <w:r w:rsidRPr="0055443D">
        <w:rPr>
          <w:u w:color="243778"/>
          <w:lang w:val="en-US"/>
        </w:rPr>
        <w:t xml:space="preserve">Open Reduction and Plate Fixation Reduced Nonunion After </w:t>
      </w:r>
    </w:p>
    <w:p w14:paraId="23013F59" w14:textId="77777777" w:rsidR="006E3FBD" w:rsidRPr="0055443D" w:rsidRDefault="006E3FBD" w:rsidP="006E3FBD">
      <w:pPr>
        <w:pStyle w:val="Heading2"/>
        <w:rPr>
          <w:u w:color="243778"/>
          <w:lang w:val="en-US"/>
        </w:rPr>
      </w:pPr>
      <w:r w:rsidRPr="0055443D">
        <w:rPr>
          <w:u w:color="243778"/>
          <w:lang w:val="en-US"/>
        </w:rPr>
        <w:t xml:space="preserve">Displaced </w:t>
      </w:r>
      <w:proofErr w:type="spellStart"/>
      <w:r w:rsidRPr="0055443D">
        <w:rPr>
          <w:u w:color="243778"/>
          <w:lang w:val="en-US"/>
        </w:rPr>
        <w:t>Midshaft</w:t>
      </w:r>
      <w:proofErr w:type="spellEnd"/>
      <w:r w:rsidRPr="0055443D">
        <w:rPr>
          <w:u w:color="243778"/>
          <w:lang w:val="en-US"/>
        </w:rPr>
        <w:t xml:space="preserve"> </w:t>
      </w:r>
      <w:proofErr w:type="spellStart"/>
      <w:r w:rsidRPr="0055443D">
        <w:rPr>
          <w:u w:color="243778"/>
          <w:lang w:val="en-US"/>
        </w:rPr>
        <w:t>Clavicular</w:t>
      </w:r>
      <w:proofErr w:type="spellEnd"/>
      <w:r w:rsidRPr="0055443D">
        <w:rPr>
          <w:u w:color="243778"/>
          <w:lang w:val="en-US"/>
        </w:rPr>
        <w:t xml:space="preserve"> Fracture </w:t>
      </w:r>
    </w:p>
    <w:p w14:paraId="01E7F368" w14:textId="77777777" w:rsidR="006E3FBD" w:rsidRPr="00677090" w:rsidRDefault="006E3FBD" w:rsidP="006E3FBD">
      <w:pPr>
        <w:rPr>
          <w:rFonts w:ascii="Times New Roman" w:hAnsi="Times New Roman" w:cs="Times New Roman"/>
          <w:u w:color="243778"/>
          <w:lang w:val="en-US"/>
        </w:rPr>
      </w:pPr>
      <w:r w:rsidRPr="00677090">
        <w:rPr>
          <w:rFonts w:ascii="Times New Roman" w:hAnsi="Times New Roman" w:cs="Times New Roman"/>
          <w:u w:color="243778"/>
          <w:lang w:val="en-US"/>
        </w:rPr>
        <w:t>JBJS Am</w:t>
      </w:r>
      <w:r w:rsidRPr="00677090">
        <w:rPr>
          <w:rFonts w:ascii="Times New Roman" w:hAnsi="Times New Roman" w:cs="Times New Roman"/>
          <w:u w:color="243778"/>
          <w:lang w:val="en-US"/>
        </w:rPr>
        <w:tab/>
      </w:r>
      <w:r w:rsidRPr="00677090">
        <w:rPr>
          <w:rFonts w:ascii="Times New Roman" w:hAnsi="Times New Roman" w:cs="Times New Roman"/>
          <w:u w:color="243778"/>
          <w:lang w:val="en-US"/>
        </w:rPr>
        <w:tab/>
        <w:t>Robinson et al</w:t>
      </w:r>
      <w:r w:rsidRPr="00677090">
        <w:rPr>
          <w:rFonts w:ascii="Times New Roman" w:hAnsi="Times New Roman" w:cs="Times New Roman"/>
          <w:u w:color="243778"/>
          <w:lang w:val="en-US"/>
        </w:rPr>
        <w:tab/>
      </w:r>
      <w:r w:rsidRPr="00677090">
        <w:rPr>
          <w:rFonts w:ascii="Times New Roman" w:hAnsi="Times New Roman" w:cs="Times New Roman"/>
          <w:u w:color="243778"/>
          <w:lang w:val="en-US"/>
        </w:rPr>
        <w:tab/>
        <w:t>2014</w:t>
      </w:r>
    </w:p>
    <w:p w14:paraId="3A71877E" w14:textId="77777777" w:rsidR="006E3FBD" w:rsidRPr="00677090" w:rsidRDefault="006E3FBD" w:rsidP="006E3FBD">
      <w:pPr>
        <w:rPr>
          <w:rFonts w:ascii="Times New Roman" w:hAnsi="Times New Roman" w:cs="Times New Roman"/>
          <w:u w:color="243778"/>
          <w:lang w:val="en-US"/>
        </w:rPr>
      </w:pPr>
    </w:p>
    <w:p w14:paraId="3067B4C8" w14:textId="77777777" w:rsidR="006E3FBD" w:rsidRPr="00677090" w:rsidRDefault="006E3FBD" w:rsidP="006E3FBD">
      <w:pPr>
        <w:rPr>
          <w:rFonts w:ascii="Times New Roman" w:hAnsi="Times New Roman" w:cs="Times New Roman"/>
          <w:u w:color="243778"/>
          <w:lang w:val="en-US"/>
        </w:rPr>
      </w:pPr>
      <w:r w:rsidRPr="00677090">
        <w:rPr>
          <w:rFonts w:ascii="Times New Roman" w:hAnsi="Times New Roman" w:cs="Times New Roman"/>
          <w:u w:color="243778"/>
          <w:lang w:val="en-US"/>
        </w:rPr>
        <w:t>RCT from Edinburgh – 200 patients</w:t>
      </w:r>
    </w:p>
    <w:p w14:paraId="158F3C7E" w14:textId="77777777" w:rsidR="006E3FBD" w:rsidRPr="00677090" w:rsidRDefault="006E3FBD" w:rsidP="006E3FBD">
      <w:pPr>
        <w:rPr>
          <w:rFonts w:ascii="Times New Roman" w:hAnsi="Times New Roman" w:cs="Times New Roman"/>
          <w:b/>
          <w:u w:color="243778"/>
          <w:lang w:val="en-US"/>
        </w:rPr>
      </w:pPr>
      <w:r w:rsidRPr="00677090">
        <w:rPr>
          <w:rFonts w:ascii="Times New Roman" w:hAnsi="Times New Roman" w:cs="Times New Roman"/>
          <w:b/>
          <w:u w:color="243778"/>
          <w:lang w:val="en-US"/>
        </w:rPr>
        <w:t xml:space="preserve">In patients with displaced </w:t>
      </w:r>
      <w:proofErr w:type="spellStart"/>
      <w:r w:rsidRPr="00677090">
        <w:rPr>
          <w:rFonts w:ascii="Times New Roman" w:hAnsi="Times New Roman" w:cs="Times New Roman"/>
          <w:b/>
          <w:u w:color="243778"/>
          <w:lang w:val="en-US"/>
        </w:rPr>
        <w:t>midshaft</w:t>
      </w:r>
      <w:proofErr w:type="spellEnd"/>
      <w:r w:rsidRPr="00677090">
        <w:rPr>
          <w:rFonts w:ascii="Times New Roman" w:hAnsi="Times New Roman" w:cs="Times New Roman"/>
          <w:b/>
          <w:u w:color="243778"/>
          <w:lang w:val="en-US"/>
        </w:rPr>
        <w:t xml:space="preserve"> </w:t>
      </w:r>
      <w:proofErr w:type="spellStart"/>
      <w:r w:rsidRPr="00677090">
        <w:rPr>
          <w:rFonts w:ascii="Times New Roman" w:hAnsi="Times New Roman" w:cs="Times New Roman"/>
          <w:b/>
          <w:u w:color="243778"/>
          <w:lang w:val="en-US"/>
        </w:rPr>
        <w:t>clavicular</w:t>
      </w:r>
      <w:proofErr w:type="spellEnd"/>
      <w:r w:rsidRPr="00677090">
        <w:rPr>
          <w:rFonts w:ascii="Times New Roman" w:hAnsi="Times New Roman" w:cs="Times New Roman"/>
          <w:b/>
          <w:u w:color="243778"/>
          <w:lang w:val="en-US"/>
        </w:rPr>
        <w:t xml:space="preserve"> fractures, open reduction and plate fix- </w:t>
      </w:r>
      <w:proofErr w:type="spellStart"/>
      <w:r w:rsidRPr="00677090">
        <w:rPr>
          <w:rFonts w:ascii="Times New Roman" w:hAnsi="Times New Roman" w:cs="Times New Roman"/>
          <w:b/>
          <w:u w:color="243778"/>
          <w:lang w:val="en-US"/>
        </w:rPr>
        <w:t>ation</w:t>
      </w:r>
      <w:proofErr w:type="spellEnd"/>
      <w:r w:rsidRPr="00677090">
        <w:rPr>
          <w:rFonts w:ascii="Times New Roman" w:hAnsi="Times New Roman" w:cs="Times New Roman"/>
          <w:b/>
          <w:u w:color="243778"/>
          <w:lang w:val="en-US"/>
        </w:rPr>
        <w:t xml:space="preserve"> reduced the rate of nonunion and resulted in better functional outcomes than </w:t>
      </w:r>
      <w:proofErr w:type="spellStart"/>
      <w:r w:rsidRPr="00677090">
        <w:rPr>
          <w:rFonts w:ascii="Times New Roman" w:hAnsi="Times New Roman" w:cs="Times New Roman"/>
          <w:b/>
          <w:u w:color="243778"/>
          <w:lang w:val="en-US"/>
        </w:rPr>
        <w:t>nonoperative</w:t>
      </w:r>
      <w:proofErr w:type="spellEnd"/>
      <w:r w:rsidRPr="00677090">
        <w:rPr>
          <w:rFonts w:ascii="Times New Roman" w:hAnsi="Times New Roman" w:cs="Times New Roman"/>
          <w:b/>
          <w:u w:color="243778"/>
          <w:lang w:val="en-US"/>
        </w:rPr>
        <w:t xml:space="preserve"> treat- </w:t>
      </w:r>
      <w:proofErr w:type="spellStart"/>
      <w:r w:rsidRPr="00677090">
        <w:rPr>
          <w:rFonts w:ascii="Times New Roman" w:hAnsi="Times New Roman" w:cs="Times New Roman"/>
          <w:b/>
          <w:u w:color="243778"/>
          <w:lang w:val="en-US"/>
        </w:rPr>
        <w:t>ment</w:t>
      </w:r>
      <w:proofErr w:type="spellEnd"/>
      <w:r w:rsidRPr="00677090">
        <w:rPr>
          <w:rFonts w:ascii="Times New Roman" w:hAnsi="Times New Roman" w:cs="Times New Roman"/>
          <w:b/>
          <w:u w:color="243778"/>
          <w:lang w:val="en-US"/>
        </w:rPr>
        <w:t xml:space="preserve"> did. </w:t>
      </w:r>
    </w:p>
    <w:p w14:paraId="0C8F2708" w14:textId="77777777" w:rsidR="006E3FBD" w:rsidRDefault="006E3FBD" w:rsidP="00BF2F42"/>
    <w:p w14:paraId="75F35BA1" w14:textId="77777777" w:rsidR="00DE1695" w:rsidRDefault="00DE1695" w:rsidP="00BF2F42"/>
    <w:p w14:paraId="233F5066" w14:textId="77777777" w:rsidR="00DE1695" w:rsidRDefault="00DE1695" w:rsidP="00440848">
      <w:pPr>
        <w:pStyle w:val="Heading2"/>
        <w:rPr>
          <w:u w:color="262626"/>
          <w:lang w:val="en-US"/>
        </w:rPr>
      </w:pPr>
      <w:proofErr w:type="gramStart"/>
      <w:r>
        <w:rPr>
          <w:u w:color="262626"/>
          <w:lang w:val="en-US"/>
        </w:rPr>
        <w:t xml:space="preserve">Fixation of fractures of the shaft of the </w:t>
      </w:r>
      <w:proofErr w:type="spellStart"/>
      <w:r>
        <w:rPr>
          <w:u w:color="262626"/>
          <w:lang w:val="en-US"/>
        </w:rPr>
        <w:t>humerus</w:t>
      </w:r>
      <w:proofErr w:type="spellEnd"/>
      <w:r>
        <w:rPr>
          <w:u w:color="262626"/>
          <w:lang w:val="en-US"/>
        </w:rPr>
        <w:t xml:space="preserve"> by dynamic compression plate or intramedullary nail.</w:t>
      </w:r>
      <w:proofErr w:type="gramEnd"/>
      <w:r>
        <w:rPr>
          <w:u w:color="262626"/>
          <w:lang w:val="en-US"/>
        </w:rPr>
        <w:t xml:space="preserve"> A prospective, </w:t>
      </w:r>
      <w:proofErr w:type="spellStart"/>
      <w:r>
        <w:rPr>
          <w:u w:color="262626"/>
          <w:lang w:val="en-US"/>
        </w:rPr>
        <w:t>randomised</w:t>
      </w:r>
      <w:proofErr w:type="spellEnd"/>
      <w:r>
        <w:rPr>
          <w:u w:color="262626"/>
          <w:lang w:val="en-US"/>
        </w:rPr>
        <w:t xml:space="preserve"> trial.</w:t>
      </w:r>
    </w:p>
    <w:p w14:paraId="5B814DD0" w14:textId="77777777" w:rsidR="00440848" w:rsidRDefault="00440848" w:rsidP="00DE1695">
      <w:pPr>
        <w:widowControl w:val="0"/>
        <w:autoSpaceDE w:val="0"/>
        <w:autoSpaceDN w:val="0"/>
        <w:adjustRightInd w:val="0"/>
      </w:pPr>
      <w:r>
        <w:t xml:space="preserve">JBJS Br </w:t>
      </w:r>
      <w:r>
        <w:tab/>
        <w:t>McCormack eta l</w:t>
      </w:r>
      <w:r>
        <w:tab/>
      </w:r>
      <w:r>
        <w:tab/>
        <w:t>2000</w:t>
      </w:r>
    </w:p>
    <w:p w14:paraId="60F6771A" w14:textId="77777777" w:rsidR="00DE1695" w:rsidRDefault="00DE1695" w:rsidP="00DE1695">
      <w:pPr>
        <w:widowControl w:val="0"/>
        <w:autoSpaceDE w:val="0"/>
        <w:autoSpaceDN w:val="0"/>
        <w:adjustRightInd w:val="0"/>
        <w:rPr>
          <w:rFonts w:ascii="Arial" w:hAnsi="Arial" w:cs="Arial"/>
          <w:sz w:val="26"/>
          <w:szCs w:val="26"/>
          <w:u w:color="262626"/>
          <w:lang w:val="en-US"/>
        </w:rPr>
      </w:pPr>
    </w:p>
    <w:p w14:paraId="0FB1398A" w14:textId="30AB246D" w:rsidR="00440848" w:rsidRPr="0090416D" w:rsidRDefault="00440848" w:rsidP="00DE1695">
      <w:pPr>
        <w:widowControl w:val="0"/>
        <w:autoSpaceDE w:val="0"/>
        <w:autoSpaceDN w:val="0"/>
        <w:adjustRightInd w:val="0"/>
        <w:rPr>
          <w:rFonts w:cs="Arial"/>
          <w:u w:color="262626"/>
          <w:lang w:val="en-US"/>
        </w:rPr>
      </w:pPr>
      <w:r w:rsidRPr="0090416D">
        <w:rPr>
          <w:rFonts w:cs="Arial"/>
          <w:u w:color="262626"/>
          <w:lang w:val="en-US"/>
        </w:rPr>
        <w:t xml:space="preserve">44 </w:t>
      </w:r>
      <w:proofErr w:type="spellStart"/>
      <w:r w:rsidRPr="0090416D">
        <w:rPr>
          <w:rFonts w:cs="Arial"/>
          <w:u w:color="262626"/>
          <w:lang w:val="en-US"/>
        </w:rPr>
        <w:t>pts</w:t>
      </w:r>
      <w:proofErr w:type="spellEnd"/>
      <w:r w:rsidRPr="0090416D">
        <w:rPr>
          <w:rFonts w:cs="Arial"/>
          <w:u w:color="262626"/>
          <w:lang w:val="en-US"/>
        </w:rPr>
        <w:t xml:space="preserve"> </w:t>
      </w:r>
      <w:r w:rsidR="0090416D" w:rsidRPr="0090416D">
        <w:rPr>
          <w:rFonts w:cs="Arial"/>
          <w:u w:color="262626"/>
          <w:lang w:val="en-US"/>
        </w:rPr>
        <w:t>–</w:t>
      </w:r>
      <w:r w:rsidRPr="0090416D">
        <w:rPr>
          <w:rFonts w:cs="Arial"/>
          <w:u w:color="262626"/>
          <w:lang w:val="en-US"/>
        </w:rPr>
        <w:t xml:space="preserve"> </w:t>
      </w:r>
      <w:r w:rsidR="0090416D" w:rsidRPr="0090416D">
        <w:rPr>
          <w:rFonts w:cs="Arial"/>
          <w:u w:color="262626"/>
          <w:lang w:val="en-US"/>
        </w:rPr>
        <w:t>RCT</w:t>
      </w:r>
    </w:p>
    <w:p w14:paraId="435F0E0F" w14:textId="327A55D5" w:rsidR="0090416D" w:rsidRPr="0090416D" w:rsidRDefault="0090416D" w:rsidP="00DE1695">
      <w:pPr>
        <w:widowControl w:val="0"/>
        <w:autoSpaceDE w:val="0"/>
        <w:autoSpaceDN w:val="0"/>
        <w:adjustRightInd w:val="0"/>
        <w:rPr>
          <w:rFonts w:cs="Arial"/>
          <w:u w:color="262626"/>
          <w:lang w:val="en-US"/>
        </w:rPr>
      </w:pPr>
      <w:proofErr w:type="gramStart"/>
      <w:r w:rsidRPr="0090416D">
        <w:rPr>
          <w:rFonts w:cs="Arial"/>
          <w:u w:color="262626"/>
          <w:lang w:val="en-US"/>
        </w:rPr>
        <w:t>High impingement and reoperation after IM nailing.</w:t>
      </w:r>
      <w:proofErr w:type="gramEnd"/>
    </w:p>
    <w:p w14:paraId="6958C8E9" w14:textId="77777777" w:rsidR="0090416D" w:rsidRPr="0090416D" w:rsidRDefault="0090416D" w:rsidP="0090416D">
      <w:pPr>
        <w:widowControl w:val="0"/>
        <w:autoSpaceDE w:val="0"/>
        <w:autoSpaceDN w:val="0"/>
        <w:adjustRightInd w:val="0"/>
        <w:rPr>
          <w:rFonts w:cs="Arial"/>
          <w:u w:color="262626"/>
          <w:lang w:val="en-US"/>
        </w:rPr>
      </w:pPr>
      <w:r w:rsidRPr="0090416D">
        <w:rPr>
          <w:rFonts w:cs="Arial"/>
          <w:u w:color="262626"/>
          <w:lang w:val="en-US"/>
        </w:rPr>
        <w:t>Fixation by IMN may be indicated for specific situations, but is technically more demanding and has a higher rate of complications.</w:t>
      </w:r>
    </w:p>
    <w:p w14:paraId="1A3B8AA6" w14:textId="77777777" w:rsidR="0090416D" w:rsidRPr="0090416D" w:rsidRDefault="0090416D" w:rsidP="00DE1695">
      <w:pPr>
        <w:widowControl w:val="0"/>
        <w:autoSpaceDE w:val="0"/>
        <w:autoSpaceDN w:val="0"/>
        <w:adjustRightInd w:val="0"/>
        <w:rPr>
          <w:rFonts w:cs="Arial"/>
          <w:u w:color="262626"/>
          <w:lang w:val="en-US"/>
        </w:rPr>
      </w:pPr>
    </w:p>
    <w:p w14:paraId="140F22BB" w14:textId="77777777" w:rsidR="00DE1695" w:rsidRDefault="00DE1695" w:rsidP="00BF2F42"/>
    <w:p w14:paraId="3AD251C8" w14:textId="77777777" w:rsidR="00DE1695" w:rsidRDefault="00DE1695" w:rsidP="0090416D">
      <w:pPr>
        <w:pStyle w:val="Heading2"/>
        <w:rPr>
          <w:u w:color="262626"/>
          <w:lang w:val="en-US"/>
        </w:rPr>
      </w:pPr>
      <w:proofErr w:type="gramStart"/>
      <w:r>
        <w:rPr>
          <w:u w:color="262626"/>
          <w:lang w:val="en-US"/>
        </w:rPr>
        <w:t>Dynamic compression plating versus locked intramedullary nailing for humeral shaft fractures in adults.</w:t>
      </w:r>
      <w:proofErr w:type="gramEnd"/>
    </w:p>
    <w:p w14:paraId="7EBEF537" w14:textId="77777777" w:rsidR="0090416D" w:rsidRDefault="0090416D" w:rsidP="00DE1695">
      <w:pPr>
        <w:widowControl w:val="0"/>
        <w:autoSpaceDE w:val="0"/>
        <w:autoSpaceDN w:val="0"/>
        <w:adjustRightInd w:val="0"/>
      </w:pPr>
      <w:r>
        <w:t xml:space="preserve">Cochrane Database </w:t>
      </w:r>
      <w:proofErr w:type="spellStart"/>
      <w:r>
        <w:t>Syst</w:t>
      </w:r>
      <w:proofErr w:type="spellEnd"/>
      <w:r>
        <w:t xml:space="preserve"> Rev</w:t>
      </w:r>
      <w:r>
        <w:tab/>
      </w:r>
      <w:proofErr w:type="spellStart"/>
      <w:r>
        <w:t>Hossain</w:t>
      </w:r>
      <w:proofErr w:type="spellEnd"/>
      <w:r>
        <w:t xml:space="preserve"> et al</w:t>
      </w:r>
      <w:r>
        <w:tab/>
      </w:r>
      <w:r>
        <w:tab/>
        <w:t>2011</w:t>
      </w:r>
    </w:p>
    <w:p w14:paraId="648BB11E" w14:textId="77777777" w:rsidR="0090416D" w:rsidRDefault="0090416D" w:rsidP="00DE1695">
      <w:pPr>
        <w:widowControl w:val="0"/>
        <w:autoSpaceDE w:val="0"/>
        <w:autoSpaceDN w:val="0"/>
        <w:adjustRightInd w:val="0"/>
      </w:pPr>
    </w:p>
    <w:p w14:paraId="5E16BC4A" w14:textId="544D9FF0" w:rsidR="0090416D" w:rsidRDefault="0090416D" w:rsidP="00DE1695">
      <w:pPr>
        <w:widowControl w:val="0"/>
        <w:autoSpaceDE w:val="0"/>
        <w:autoSpaceDN w:val="0"/>
        <w:adjustRightInd w:val="0"/>
      </w:pPr>
      <w:r>
        <w:rPr>
          <w:rFonts w:ascii="Arial" w:hAnsi="Arial" w:cs="Arial"/>
          <w:sz w:val="26"/>
          <w:szCs w:val="26"/>
          <w:u w:color="262626"/>
          <w:lang w:val="en-US"/>
        </w:rPr>
        <w:t>Intramedullary nailing is associated with an increased risk of shoulder impingement, with a related increase in restriction of shoulder movement and need for removal of metalwork.</w:t>
      </w:r>
    </w:p>
    <w:p w14:paraId="40FD991F" w14:textId="77777777" w:rsidR="0090416D" w:rsidRDefault="0090416D" w:rsidP="00DE1695">
      <w:pPr>
        <w:widowControl w:val="0"/>
        <w:autoSpaceDE w:val="0"/>
        <w:autoSpaceDN w:val="0"/>
        <w:adjustRightInd w:val="0"/>
        <w:rPr>
          <w:rFonts w:ascii="Arial" w:hAnsi="Arial" w:cs="Arial"/>
          <w:sz w:val="26"/>
          <w:szCs w:val="26"/>
          <w:u w:color="262626"/>
          <w:lang w:val="en-US"/>
        </w:rPr>
      </w:pPr>
    </w:p>
    <w:p w14:paraId="7FE406BB" w14:textId="77777777" w:rsidR="00DE1695" w:rsidRDefault="00DE1695" w:rsidP="00DE1695">
      <w:pPr>
        <w:widowControl w:val="0"/>
        <w:autoSpaceDE w:val="0"/>
        <w:autoSpaceDN w:val="0"/>
        <w:adjustRightInd w:val="0"/>
        <w:rPr>
          <w:rFonts w:ascii="Arial" w:hAnsi="Arial" w:cs="Arial"/>
          <w:sz w:val="26"/>
          <w:szCs w:val="26"/>
          <w:u w:color="262626"/>
          <w:lang w:val="en-US"/>
        </w:rPr>
      </w:pPr>
      <w:r>
        <w:rPr>
          <w:rFonts w:ascii="Arial" w:hAnsi="Arial" w:cs="Arial"/>
          <w:sz w:val="26"/>
          <w:szCs w:val="26"/>
          <w:u w:color="262626"/>
          <w:lang w:val="en-US"/>
        </w:rPr>
        <w:t xml:space="preserve">Surgical fixation of fractures of the shaft of the </w:t>
      </w:r>
      <w:proofErr w:type="spellStart"/>
      <w:r>
        <w:rPr>
          <w:rFonts w:ascii="Arial" w:hAnsi="Arial" w:cs="Arial"/>
          <w:sz w:val="26"/>
          <w:szCs w:val="26"/>
          <w:u w:color="262626"/>
          <w:lang w:val="en-US"/>
        </w:rPr>
        <w:t>humerus</w:t>
      </w:r>
      <w:proofErr w:type="spellEnd"/>
      <w:r>
        <w:rPr>
          <w:rFonts w:ascii="Arial" w:hAnsi="Arial" w:cs="Arial"/>
          <w:sz w:val="26"/>
          <w:szCs w:val="26"/>
          <w:u w:color="262626"/>
          <w:lang w:val="en-US"/>
        </w:rPr>
        <w:t xml:space="preserve"> generally involves plating or nailing. It is unclear whether one method is more effective than the other.</w:t>
      </w:r>
    </w:p>
    <w:p w14:paraId="46FF3C11" w14:textId="77777777" w:rsidR="00DE1695" w:rsidRDefault="00DE1695" w:rsidP="00BF2F42"/>
    <w:p w14:paraId="7FBCB7DE" w14:textId="77777777" w:rsidR="00DE1695" w:rsidRDefault="00DE1695" w:rsidP="00DE1695">
      <w:pPr>
        <w:widowControl w:val="0"/>
        <w:autoSpaceDE w:val="0"/>
        <w:autoSpaceDN w:val="0"/>
        <w:adjustRightInd w:val="0"/>
        <w:rPr>
          <w:rFonts w:ascii="Arial" w:hAnsi="Arial" w:cs="Arial"/>
          <w:sz w:val="22"/>
          <w:szCs w:val="22"/>
          <w:u w:color="262626"/>
          <w:lang w:val="en-US"/>
        </w:rPr>
      </w:pPr>
      <w:r>
        <w:rPr>
          <w:rFonts w:ascii="Arial" w:hAnsi="Arial" w:cs="Arial"/>
          <w:color w:val="262626"/>
          <w:sz w:val="22"/>
          <w:szCs w:val="22"/>
          <w:u w:val="single" w:color="262626"/>
          <w:lang w:val="en-US"/>
        </w:rPr>
        <w:t xml:space="preserve">J Bone Joint </w:t>
      </w:r>
      <w:proofErr w:type="spellStart"/>
      <w:r>
        <w:rPr>
          <w:rFonts w:ascii="Arial" w:hAnsi="Arial" w:cs="Arial"/>
          <w:color w:val="262626"/>
          <w:sz w:val="22"/>
          <w:szCs w:val="22"/>
          <w:u w:val="single" w:color="262626"/>
          <w:lang w:val="en-US"/>
        </w:rPr>
        <w:t>Surg</w:t>
      </w:r>
      <w:proofErr w:type="spellEnd"/>
      <w:r>
        <w:rPr>
          <w:rFonts w:ascii="Arial" w:hAnsi="Arial" w:cs="Arial"/>
          <w:color w:val="262626"/>
          <w:sz w:val="22"/>
          <w:szCs w:val="22"/>
          <w:u w:val="single" w:color="262626"/>
          <w:lang w:val="en-US"/>
        </w:rPr>
        <w:t xml:space="preserve"> Br.</w:t>
      </w:r>
      <w:r>
        <w:rPr>
          <w:rFonts w:ascii="Arial" w:hAnsi="Arial" w:cs="Arial"/>
          <w:sz w:val="22"/>
          <w:szCs w:val="22"/>
          <w:u w:color="262626"/>
          <w:lang w:val="en-US"/>
        </w:rPr>
        <w:t xml:space="preserve"> 2005 Dec</w:t>
      </w:r>
      <w:proofErr w:type="gramStart"/>
      <w:r>
        <w:rPr>
          <w:rFonts w:ascii="Arial" w:hAnsi="Arial" w:cs="Arial"/>
          <w:sz w:val="22"/>
          <w:szCs w:val="22"/>
          <w:u w:color="262626"/>
          <w:lang w:val="en-US"/>
        </w:rPr>
        <w:t>;87</w:t>
      </w:r>
      <w:proofErr w:type="gramEnd"/>
      <w:r>
        <w:rPr>
          <w:rFonts w:ascii="Arial" w:hAnsi="Arial" w:cs="Arial"/>
          <w:sz w:val="22"/>
          <w:szCs w:val="22"/>
          <w:u w:color="262626"/>
          <w:lang w:val="en-US"/>
        </w:rPr>
        <w:t>(12):1647-52.</w:t>
      </w:r>
    </w:p>
    <w:p w14:paraId="05E6CA58" w14:textId="77777777" w:rsidR="00DE1695" w:rsidRDefault="00DE1695" w:rsidP="0090416D">
      <w:pPr>
        <w:pStyle w:val="Heading2"/>
        <w:rPr>
          <w:u w:color="262626"/>
          <w:lang w:val="en-US"/>
        </w:rPr>
      </w:pPr>
      <w:r>
        <w:rPr>
          <w:u w:color="262626"/>
          <w:lang w:val="en-US"/>
        </w:rPr>
        <w:t xml:space="preserve">Radial nerve palsy associated with fractures of the shaft of the </w:t>
      </w:r>
      <w:proofErr w:type="spellStart"/>
      <w:r>
        <w:rPr>
          <w:u w:color="262626"/>
          <w:lang w:val="en-US"/>
        </w:rPr>
        <w:t>humerus</w:t>
      </w:r>
      <w:proofErr w:type="spellEnd"/>
      <w:r>
        <w:rPr>
          <w:u w:color="262626"/>
          <w:lang w:val="en-US"/>
        </w:rPr>
        <w:t>: a systematic review.</w:t>
      </w:r>
    </w:p>
    <w:p w14:paraId="747D53C7" w14:textId="77777777" w:rsidR="0090416D" w:rsidRDefault="0090416D" w:rsidP="00DE1695">
      <w:pPr>
        <w:widowControl w:val="0"/>
        <w:autoSpaceDE w:val="0"/>
        <w:autoSpaceDN w:val="0"/>
        <w:adjustRightInd w:val="0"/>
      </w:pPr>
      <w:r>
        <w:t>JBJS Br</w:t>
      </w:r>
      <w:r>
        <w:tab/>
      </w:r>
      <w:r>
        <w:tab/>
        <w:t>Shao et al</w:t>
      </w:r>
      <w:r>
        <w:tab/>
      </w:r>
      <w:r>
        <w:tab/>
        <w:t>2005</w:t>
      </w:r>
    </w:p>
    <w:p w14:paraId="3CF7C0C9" w14:textId="77777777" w:rsidR="0090416D" w:rsidRDefault="0090416D" w:rsidP="00DE1695">
      <w:pPr>
        <w:widowControl w:val="0"/>
        <w:autoSpaceDE w:val="0"/>
        <w:autoSpaceDN w:val="0"/>
        <w:adjustRightInd w:val="0"/>
      </w:pPr>
    </w:p>
    <w:p w14:paraId="4469D488" w14:textId="7E129A3A" w:rsidR="00DE1695" w:rsidRPr="0077459A" w:rsidRDefault="0077459A" w:rsidP="00DE1695">
      <w:pPr>
        <w:widowControl w:val="0"/>
        <w:autoSpaceDE w:val="0"/>
        <w:autoSpaceDN w:val="0"/>
        <w:adjustRightInd w:val="0"/>
        <w:rPr>
          <w:rFonts w:cs="Arial"/>
          <w:u w:color="262626"/>
          <w:lang w:val="en-US"/>
        </w:rPr>
      </w:pPr>
      <w:r w:rsidRPr="0077459A">
        <w:rPr>
          <w:rFonts w:cs="Arial"/>
          <w:u w:color="262626"/>
          <w:lang w:val="en-US"/>
        </w:rPr>
        <w:t>1045 patients</w:t>
      </w:r>
    </w:p>
    <w:p w14:paraId="6B24CE7E" w14:textId="46B41B63" w:rsidR="0077459A" w:rsidRPr="0077459A" w:rsidRDefault="0077459A" w:rsidP="00DE1695">
      <w:pPr>
        <w:widowControl w:val="0"/>
        <w:autoSpaceDE w:val="0"/>
        <w:autoSpaceDN w:val="0"/>
        <w:adjustRightInd w:val="0"/>
        <w:rPr>
          <w:rFonts w:cs="Arial"/>
          <w:u w:color="262626"/>
          <w:lang w:val="en-US"/>
        </w:rPr>
      </w:pPr>
      <w:r w:rsidRPr="0077459A">
        <w:rPr>
          <w:rFonts w:cs="Arial"/>
          <w:u w:color="262626"/>
          <w:lang w:val="en-US"/>
        </w:rPr>
        <w:t>11.8% radial nerve palsies</w:t>
      </w:r>
    </w:p>
    <w:p w14:paraId="2AB396FC" w14:textId="568003A8" w:rsidR="0077459A" w:rsidRPr="0077459A" w:rsidRDefault="0077459A" w:rsidP="00DE1695">
      <w:pPr>
        <w:widowControl w:val="0"/>
        <w:autoSpaceDE w:val="0"/>
        <w:autoSpaceDN w:val="0"/>
        <w:adjustRightInd w:val="0"/>
        <w:rPr>
          <w:rFonts w:cs="Arial"/>
          <w:u w:color="262626"/>
          <w:lang w:val="en-US"/>
        </w:rPr>
      </w:pPr>
      <w:r w:rsidRPr="0077459A">
        <w:rPr>
          <w:rFonts w:cs="Arial"/>
          <w:u w:color="262626"/>
          <w:lang w:val="en-US"/>
        </w:rPr>
        <w:t>88% recovery - spontaneous recovery in 71%</w:t>
      </w:r>
    </w:p>
    <w:p w14:paraId="3B0811E7" w14:textId="77777777" w:rsidR="0077459A" w:rsidRPr="0077459A" w:rsidRDefault="0077459A" w:rsidP="00DE1695">
      <w:pPr>
        <w:widowControl w:val="0"/>
        <w:autoSpaceDE w:val="0"/>
        <w:autoSpaceDN w:val="0"/>
        <w:adjustRightInd w:val="0"/>
        <w:rPr>
          <w:rFonts w:cs="Arial"/>
          <w:u w:color="262626"/>
          <w:lang w:val="en-US"/>
        </w:rPr>
      </w:pPr>
    </w:p>
    <w:p w14:paraId="36437F86" w14:textId="5637F03C" w:rsidR="0077459A" w:rsidRPr="0077459A" w:rsidRDefault="0077459A" w:rsidP="00DE1695">
      <w:pPr>
        <w:widowControl w:val="0"/>
        <w:autoSpaceDE w:val="0"/>
        <w:autoSpaceDN w:val="0"/>
        <w:adjustRightInd w:val="0"/>
        <w:rPr>
          <w:rFonts w:cs="Arial"/>
          <w:u w:color="262626"/>
          <w:lang w:val="en-US"/>
        </w:rPr>
      </w:pPr>
      <w:r w:rsidRPr="0077459A">
        <w:rPr>
          <w:rFonts w:cs="Arial"/>
          <w:u w:color="262626"/>
          <w:lang w:val="en-US"/>
        </w:rPr>
        <w:t>No significant difference in the final results when comparing groups which were initially managed expectantly with those explored early, suggesting that the initial expectant treatment did not affect the extent of nerve recovery adversely and would avoid many unnecessary operations.</w:t>
      </w:r>
    </w:p>
    <w:p w14:paraId="081924EB" w14:textId="77777777" w:rsidR="0077459A" w:rsidRDefault="0077459A" w:rsidP="00DE1695">
      <w:pPr>
        <w:widowControl w:val="0"/>
        <w:autoSpaceDE w:val="0"/>
        <w:autoSpaceDN w:val="0"/>
        <w:adjustRightInd w:val="0"/>
        <w:rPr>
          <w:rFonts w:ascii="Arial" w:hAnsi="Arial" w:cs="Arial"/>
          <w:sz w:val="26"/>
          <w:szCs w:val="26"/>
          <w:u w:color="262626"/>
          <w:lang w:val="en-US"/>
        </w:rPr>
      </w:pPr>
    </w:p>
    <w:p w14:paraId="5C498F13" w14:textId="3D0CD41F" w:rsidR="00782D81" w:rsidRDefault="00782D81" w:rsidP="00782D81">
      <w:pPr>
        <w:pStyle w:val="Heading2"/>
        <w:rPr>
          <w:u w:color="262626"/>
          <w:lang w:val="en-US"/>
        </w:rPr>
      </w:pPr>
      <w:proofErr w:type="spellStart"/>
      <w:r>
        <w:rPr>
          <w:u w:color="262626"/>
          <w:lang w:val="en-US"/>
        </w:rPr>
        <w:t>Nonoperative</w:t>
      </w:r>
      <w:proofErr w:type="spellEnd"/>
      <w:r>
        <w:rPr>
          <w:u w:color="262626"/>
          <w:lang w:val="en-US"/>
        </w:rPr>
        <w:t xml:space="preserve"> functional management of patients in </w:t>
      </w:r>
      <w:proofErr w:type="spellStart"/>
      <w:r>
        <w:rPr>
          <w:u w:color="262626"/>
          <w:lang w:val="en-US"/>
        </w:rPr>
        <w:t>tendoachilles</w:t>
      </w:r>
      <w:proofErr w:type="spellEnd"/>
      <w:r>
        <w:rPr>
          <w:u w:color="262626"/>
          <w:lang w:val="en-US"/>
        </w:rPr>
        <w:t xml:space="preserve"> rupture</w:t>
      </w:r>
    </w:p>
    <w:p w14:paraId="0D02BCAC" w14:textId="1D88C65C" w:rsidR="00782D81" w:rsidRPr="00782D81" w:rsidRDefault="00782D81" w:rsidP="00DE1695">
      <w:pPr>
        <w:rPr>
          <w:rFonts w:cs="Arial"/>
          <w:u w:color="262626"/>
          <w:lang w:val="en-US"/>
        </w:rPr>
      </w:pPr>
      <w:r w:rsidRPr="00782D81">
        <w:rPr>
          <w:rFonts w:cs="Arial"/>
          <w:u w:color="262626"/>
          <w:lang w:val="en-US"/>
        </w:rPr>
        <w:t xml:space="preserve">JBJS Br </w:t>
      </w:r>
      <w:r w:rsidRPr="00782D81">
        <w:rPr>
          <w:rFonts w:cs="Arial"/>
          <w:u w:color="262626"/>
          <w:lang w:val="en-US"/>
        </w:rPr>
        <w:tab/>
        <w:t>2011</w:t>
      </w:r>
      <w:r w:rsidRPr="00782D81">
        <w:rPr>
          <w:rFonts w:cs="Arial"/>
          <w:u w:color="262626"/>
          <w:lang w:val="en-US"/>
        </w:rPr>
        <w:tab/>
      </w:r>
      <w:r w:rsidRPr="00782D81">
        <w:rPr>
          <w:rFonts w:cs="Arial"/>
          <w:u w:color="262626"/>
          <w:lang w:val="en-US"/>
        </w:rPr>
        <w:tab/>
        <w:t>Wallace et al</w:t>
      </w:r>
    </w:p>
    <w:p w14:paraId="30328799" w14:textId="77777777" w:rsidR="00782D81" w:rsidRPr="00782D81" w:rsidRDefault="00782D81" w:rsidP="00DE1695">
      <w:pPr>
        <w:rPr>
          <w:rFonts w:cs="Arial"/>
          <w:u w:color="262626"/>
          <w:lang w:val="en-US"/>
        </w:rPr>
      </w:pPr>
    </w:p>
    <w:p w14:paraId="232E7FBB" w14:textId="31459ADF" w:rsidR="00782D81" w:rsidRPr="00782D81" w:rsidRDefault="00782D81" w:rsidP="00DE1695">
      <w:pPr>
        <w:rPr>
          <w:rFonts w:cs="Arial"/>
          <w:u w:color="262626"/>
          <w:lang w:val="en-US"/>
        </w:rPr>
      </w:pPr>
      <w:r w:rsidRPr="00782D81">
        <w:rPr>
          <w:rFonts w:cs="Arial"/>
          <w:u w:color="262626"/>
          <w:lang w:val="en-US"/>
        </w:rPr>
        <w:t xml:space="preserve">945pts – 12 </w:t>
      </w:r>
      <w:proofErr w:type="spellStart"/>
      <w:r w:rsidRPr="00782D81">
        <w:rPr>
          <w:rFonts w:cs="Arial"/>
          <w:u w:color="262626"/>
          <w:lang w:val="en-US"/>
        </w:rPr>
        <w:t>yr</w:t>
      </w:r>
      <w:proofErr w:type="spellEnd"/>
      <w:r w:rsidRPr="00782D81">
        <w:rPr>
          <w:rFonts w:cs="Arial"/>
          <w:u w:color="262626"/>
          <w:lang w:val="en-US"/>
        </w:rPr>
        <w:t xml:space="preserve"> </w:t>
      </w:r>
      <w:proofErr w:type="spellStart"/>
      <w:r w:rsidRPr="00782D81">
        <w:rPr>
          <w:rFonts w:cs="Arial"/>
          <w:u w:color="262626"/>
          <w:lang w:val="en-US"/>
        </w:rPr>
        <w:t>followup</w:t>
      </w:r>
      <w:proofErr w:type="spellEnd"/>
      <w:r w:rsidRPr="00782D81">
        <w:rPr>
          <w:rFonts w:cs="Arial"/>
          <w:u w:color="262626"/>
          <w:lang w:val="en-US"/>
        </w:rPr>
        <w:t xml:space="preserve"> – all non operative with functional rehabilitation protocol</w:t>
      </w:r>
    </w:p>
    <w:p w14:paraId="5BC1B4E5" w14:textId="4446D9FA" w:rsidR="00782D81" w:rsidRPr="00782D81" w:rsidRDefault="00782D81" w:rsidP="00DE1695">
      <w:pPr>
        <w:rPr>
          <w:rFonts w:cs="Arial"/>
          <w:u w:color="262626"/>
          <w:lang w:val="en-US"/>
        </w:rPr>
      </w:pPr>
      <w:r w:rsidRPr="00782D81">
        <w:rPr>
          <w:rFonts w:cs="Arial"/>
          <w:u w:color="262626"/>
          <w:lang w:val="en-US"/>
        </w:rPr>
        <w:t xml:space="preserve">(3 </w:t>
      </w:r>
      <w:proofErr w:type="spellStart"/>
      <w:r w:rsidRPr="00782D81">
        <w:rPr>
          <w:rFonts w:cs="Arial"/>
          <w:u w:color="262626"/>
          <w:lang w:val="en-US"/>
        </w:rPr>
        <w:t>wks</w:t>
      </w:r>
      <w:proofErr w:type="spellEnd"/>
      <w:r w:rsidRPr="00782D81">
        <w:rPr>
          <w:rFonts w:cs="Arial"/>
          <w:u w:color="262626"/>
          <w:lang w:val="en-US"/>
        </w:rPr>
        <w:t xml:space="preserve"> cast </w:t>
      </w:r>
      <w:proofErr w:type="spellStart"/>
      <w:r w:rsidRPr="00782D81">
        <w:rPr>
          <w:rFonts w:cs="Arial"/>
          <w:u w:color="262626"/>
          <w:lang w:val="en-US"/>
        </w:rPr>
        <w:t>equinus</w:t>
      </w:r>
      <w:proofErr w:type="spellEnd"/>
      <w:r w:rsidRPr="00782D81">
        <w:rPr>
          <w:rFonts w:cs="Arial"/>
          <w:u w:color="262626"/>
          <w:lang w:val="en-US"/>
        </w:rPr>
        <w:t xml:space="preserve"> – walking boot weight bearing– wedge off in every 2 weeks – walker off in 8 weeks</w:t>
      </w:r>
    </w:p>
    <w:p w14:paraId="48DF943E" w14:textId="77777777" w:rsidR="00782D81" w:rsidRPr="00782D81" w:rsidRDefault="00782D81" w:rsidP="00DE1695">
      <w:pPr>
        <w:rPr>
          <w:rFonts w:cs="Arial"/>
          <w:u w:color="262626"/>
          <w:lang w:val="en-US"/>
        </w:rPr>
      </w:pPr>
    </w:p>
    <w:p w14:paraId="6D252249" w14:textId="6D695399" w:rsidR="00782D81" w:rsidRPr="00782D81" w:rsidRDefault="00782D81" w:rsidP="00DE1695">
      <w:pPr>
        <w:rPr>
          <w:rFonts w:cs="Arial"/>
          <w:u w:color="262626"/>
          <w:lang w:val="en-US"/>
        </w:rPr>
      </w:pPr>
      <w:proofErr w:type="spellStart"/>
      <w:r w:rsidRPr="00782D81">
        <w:rPr>
          <w:rFonts w:cs="Arial"/>
          <w:u w:color="262626"/>
          <w:lang w:val="en-US"/>
        </w:rPr>
        <w:t>Rerupture</w:t>
      </w:r>
      <w:proofErr w:type="spellEnd"/>
      <w:r w:rsidRPr="00782D81">
        <w:rPr>
          <w:rFonts w:cs="Arial"/>
          <w:u w:color="262626"/>
          <w:lang w:val="en-US"/>
        </w:rPr>
        <w:t xml:space="preserve"> rate </w:t>
      </w:r>
      <w:r>
        <w:rPr>
          <w:rFonts w:cs="Arial"/>
          <w:u w:color="262626"/>
          <w:lang w:val="en-US"/>
        </w:rPr>
        <w:t xml:space="preserve">with </w:t>
      </w:r>
      <w:proofErr w:type="gramStart"/>
      <w:r>
        <w:rPr>
          <w:rFonts w:cs="Arial"/>
          <w:u w:color="262626"/>
          <w:lang w:val="en-US"/>
        </w:rPr>
        <w:t>non operative</w:t>
      </w:r>
      <w:proofErr w:type="gramEnd"/>
      <w:r>
        <w:rPr>
          <w:rFonts w:cs="Arial"/>
          <w:u w:color="262626"/>
          <w:lang w:val="en-US"/>
        </w:rPr>
        <w:t xml:space="preserve"> </w:t>
      </w:r>
      <w:r w:rsidRPr="00782D81">
        <w:rPr>
          <w:rFonts w:cs="Arial"/>
          <w:u w:color="262626"/>
          <w:lang w:val="en-US"/>
        </w:rPr>
        <w:t>– 2.8%</w:t>
      </w:r>
    </w:p>
    <w:p w14:paraId="536F9AF5" w14:textId="77777777" w:rsidR="00782D81" w:rsidRDefault="00782D81" w:rsidP="00DE1695">
      <w:pPr>
        <w:rPr>
          <w:rFonts w:ascii="Arial" w:hAnsi="Arial" w:cs="Arial"/>
          <w:sz w:val="26"/>
          <w:szCs w:val="26"/>
          <w:u w:color="262626"/>
          <w:lang w:val="en-US"/>
        </w:rPr>
      </w:pPr>
    </w:p>
    <w:p w14:paraId="23D5162C" w14:textId="0DF0745C" w:rsidR="00782D81" w:rsidRDefault="0077459A" w:rsidP="00782D81">
      <w:pPr>
        <w:pStyle w:val="Heading2"/>
        <w:rPr>
          <w:u w:color="262626"/>
          <w:lang w:val="en-US"/>
        </w:rPr>
      </w:pPr>
      <w:proofErr w:type="spellStart"/>
      <w:r>
        <w:rPr>
          <w:u w:color="262626"/>
          <w:lang w:val="en-US"/>
        </w:rPr>
        <w:t>Tendoachilles</w:t>
      </w:r>
      <w:proofErr w:type="spellEnd"/>
      <w:r>
        <w:rPr>
          <w:u w:color="262626"/>
          <w:lang w:val="en-US"/>
        </w:rPr>
        <w:t xml:space="preserve"> - </w:t>
      </w:r>
      <w:r w:rsidR="00782D81">
        <w:rPr>
          <w:u w:color="262626"/>
          <w:lang w:val="en-US"/>
        </w:rPr>
        <w:t xml:space="preserve">Operative </w:t>
      </w:r>
      <w:proofErr w:type="spellStart"/>
      <w:r w:rsidR="00782D81">
        <w:rPr>
          <w:u w:color="262626"/>
          <w:lang w:val="en-US"/>
        </w:rPr>
        <w:t>Vs</w:t>
      </w:r>
      <w:proofErr w:type="spellEnd"/>
      <w:r w:rsidR="00782D81">
        <w:rPr>
          <w:u w:color="262626"/>
          <w:lang w:val="en-US"/>
        </w:rPr>
        <w:t xml:space="preserve"> Non-</w:t>
      </w:r>
      <w:proofErr w:type="spellStart"/>
      <w:r w:rsidR="00782D81">
        <w:rPr>
          <w:u w:color="262626"/>
          <w:lang w:val="en-US"/>
        </w:rPr>
        <w:t>opeartive</w:t>
      </w:r>
      <w:proofErr w:type="spellEnd"/>
      <w:r w:rsidR="00782D81">
        <w:rPr>
          <w:u w:color="262626"/>
          <w:lang w:val="en-US"/>
        </w:rPr>
        <w:t xml:space="preserve"> – RCT – </w:t>
      </w:r>
      <w:proofErr w:type="spellStart"/>
      <w:r w:rsidR="00782D81">
        <w:rPr>
          <w:u w:color="262626"/>
          <w:lang w:val="en-US"/>
        </w:rPr>
        <w:t>Multicentre</w:t>
      </w:r>
      <w:proofErr w:type="spellEnd"/>
    </w:p>
    <w:p w14:paraId="395D7D43" w14:textId="29A58015" w:rsidR="00782D81" w:rsidRPr="00782D81" w:rsidRDefault="00782D81" w:rsidP="00DE1695">
      <w:pPr>
        <w:rPr>
          <w:rFonts w:cs="Arial"/>
          <w:u w:color="262626"/>
          <w:lang w:val="en-US"/>
        </w:rPr>
      </w:pPr>
      <w:r w:rsidRPr="00782D81">
        <w:rPr>
          <w:rFonts w:cs="Arial"/>
          <w:u w:color="262626"/>
          <w:lang w:val="en-US"/>
        </w:rPr>
        <w:t>JBJS Am</w:t>
      </w:r>
      <w:r w:rsidRPr="00782D81">
        <w:rPr>
          <w:rFonts w:cs="Arial"/>
          <w:u w:color="262626"/>
          <w:lang w:val="en-US"/>
        </w:rPr>
        <w:tab/>
      </w:r>
      <w:r w:rsidRPr="00782D81">
        <w:rPr>
          <w:rFonts w:cs="Arial"/>
          <w:u w:color="262626"/>
          <w:lang w:val="en-US"/>
        </w:rPr>
        <w:tab/>
        <w:t>2010</w:t>
      </w:r>
      <w:r w:rsidRPr="00782D81">
        <w:rPr>
          <w:rFonts w:cs="Arial"/>
          <w:u w:color="262626"/>
          <w:lang w:val="en-US"/>
        </w:rPr>
        <w:tab/>
      </w:r>
      <w:r w:rsidRPr="00782D81">
        <w:rPr>
          <w:rFonts w:cs="Arial"/>
          <w:u w:color="262626"/>
          <w:lang w:val="en-US"/>
        </w:rPr>
        <w:tab/>
        <w:t>Willits et al</w:t>
      </w:r>
    </w:p>
    <w:p w14:paraId="5774747B" w14:textId="6110342D" w:rsidR="00782D81" w:rsidRPr="00782D81" w:rsidRDefault="00782D81" w:rsidP="00DE1695">
      <w:pPr>
        <w:rPr>
          <w:rFonts w:cs="Arial"/>
          <w:u w:color="262626"/>
          <w:lang w:val="en-US"/>
        </w:rPr>
      </w:pPr>
      <w:r w:rsidRPr="00782D81">
        <w:rPr>
          <w:rFonts w:cs="Arial"/>
          <w:u w:color="262626"/>
          <w:lang w:val="en-US"/>
        </w:rPr>
        <w:t>144pts – 72 op – 72 non op</w:t>
      </w:r>
    </w:p>
    <w:p w14:paraId="4F39376D" w14:textId="2F203593" w:rsidR="00782D81" w:rsidRPr="00782D81" w:rsidRDefault="00782D81" w:rsidP="00DE1695">
      <w:pPr>
        <w:rPr>
          <w:rFonts w:cs="Arial"/>
          <w:u w:color="262626"/>
          <w:lang w:val="en-US"/>
        </w:rPr>
      </w:pPr>
      <w:r w:rsidRPr="00782D81">
        <w:rPr>
          <w:rFonts w:cs="Arial"/>
          <w:u w:color="262626"/>
          <w:lang w:val="en-US"/>
        </w:rPr>
        <w:t xml:space="preserve">RCT – </w:t>
      </w:r>
      <w:proofErr w:type="spellStart"/>
      <w:r w:rsidRPr="00782D81">
        <w:rPr>
          <w:rFonts w:cs="Arial"/>
          <w:u w:color="262626"/>
          <w:lang w:val="en-US"/>
        </w:rPr>
        <w:t>acceralated</w:t>
      </w:r>
      <w:proofErr w:type="spellEnd"/>
      <w:r w:rsidRPr="00782D81">
        <w:rPr>
          <w:rFonts w:cs="Arial"/>
          <w:u w:color="262626"/>
          <w:lang w:val="en-US"/>
        </w:rPr>
        <w:t xml:space="preserve"> rehabilitation protocol – early </w:t>
      </w:r>
      <w:proofErr w:type="spellStart"/>
      <w:r w:rsidRPr="00782D81">
        <w:rPr>
          <w:rFonts w:cs="Arial"/>
          <w:u w:color="262626"/>
          <w:lang w:val="en-US"/>
        </w:rPr>
        <w:t>wt</w:t>
      </w:r>
      <w:proofErr w:type="spellEnd"/>
      <w:r w:rsidRPr="00782D81">
        <w:rPr>
          <w:rFonts w:cs="Arial"/>
          <w:u w:color="262626"/>
          <w:lang w:val="en-US"/>
        </w:rPr>
        <w:t xml:space="preserve"> bearing and mobilization</w:t>
      </w:r>
    </w:p>
    <w:p w14:paraId="1352089A" w14:textId="77777777" w:rsidR="00782D81" w:rsidRPr="00782D81" w:rsidRDefault="00782D81" w:rsidP="00DE1695">
      <w:pPr>
        <w:rPr>
          <w:rFonts w:cs="Arial"/>
          <w:u w:color="262626"/>
          <w:lang w:val="en-US"/>
        </w:rPr>
      </w:pPr>
    </w:p>
    <w:p w14:paraId="01B410DD" w14:textId="72D7F1B3" w:rsidR="00782D81" w:rsidRPr="00782D81" w:rsidRDefault="00782D81" w:rsidP="00DE1695">
      <w:pPr>
        <w:rPr>
          <w:rFonts w:cs="Arial"/>
          <w:u w:color="262626"/>
          <w:lang w:val="en-US"/>
        </w:rPr>
      </w:pPr>
      <w:r w:rsidRPr="00782D81">
        <w:rPr>
          <w:rFonts w:cs="Arial"/>
          <w:u w:color="262626"/>
          <w:lang w:val="en-US"/>
        </w:rPr>
        <w:t>Re rupture – no significant difference</w:t>
      </w:r>
    </w:p>
    <w:p w14:paraId="73F79432" w14:textId="2BD96FF8" w:rsidR="00782D81" w:rsidRPr="00782D81" w:rsidRDefault="00782D81" w:rsidP="00DE1695">
      <w:pPr>
        <w:rPr>
          <w:rFonts w:cs="Arial"/>
          <w:u w:color="262626"/>
          <w:lang w:val="en-US"/>
        </w:rPr>
      </w:pPr>
      <w:r w:rsidRPr="00782D81">
        <w:rPr>
          <w:rFonts w:cs="Arial"/>
          <w:u w:color="262626"/>
          <w:lang w:val="en-US"/>
        </w:rPr>
        <w:t>No difference in outcome</w:t>
      </w:r>
    </w:p>
    <w:p w14:paraId="4D2F6099" w14:textId="450BDADC" w:rsidR="00782D81" w:rsidRDefault="00782D81" w:rsidP="00DE1695">
      <w:pPr>
        <w:rPr>
          <w:rFonts w:cs="Arial"/>
          <w:u w:color="262626"/>
          <w:lang w:val="en-US"/>
        </w:rPr>
      </w:pPr>
      <w:r w:rsidRPr="00782D81">
        <w:rPr>
          <w:rFonts w:cs="Arial"/>
          <w:u w:color="262626"/>
          <w:lang w:val="en-US"/>
        </w:rPr>
        <w:t>Significant difference in complications in operative group – wound problems</w:t>
      </w:r>
    </w:p>
    <w:p w14:paraId="50F66781" w14:textId="77777777" w:rsidR="00732287" w:rsidRDefault="00732287" w:rsidP="00DE1695">
      <w:pPr>
        <w:rPr>
          <w:rFonts w:cs="Arial"/>
          <w:u w:color="262626"/>
          <w:lang w:val="en-US"/>
        </w:rPr>
      </w:pPr>
    </w:p>
    <w:p w14:paraId="3CF7E359" w14:textId="77777777" w:rsidR="00732287" w:rsidRPr="00732287" w:rsidRDefault="00732287" w:rsidP="00732287">
      <w:pPr>
        <w:pStyle w:val="Heading2"/>
        <w:rPr>
          <w:u w:color="262626"/>
          <w:lang w:val="en-US"/>
        </w:rPr>
      </w:pPr>
      <w:r w:rsidRPr="00732287">
        <w:rPr>
          <w:u w:color="262626"/>
          <w:lang w:val="en-US"/>
        </w:rPr>
        <w:t xml:space="preserve">Treatment of Primarily Ligamentous </w:t>
      </w:r>
      <w:proofErr w:type="spellStart"/>
      <w:r w:rsidRPr="00732287">
        <w:rPr>
          <w:u w:color="262626"/>
          <w:lang w:val="en-US"/>
        </w:rPr>
        <w:t>Lisfranc</w:t>
      </w:r>
      <w:proofErr w:type="spellEnd"/>
      <w:r w:rsidRPr="00732287">
        <w:rPr>
          <w:u w:color="262626"/>
          <w:lang w:val="en-US"/>
        </w:rPr>
        <w:t xml:space="preserve"> Joint Injuries: Primary Arthrodesis Compared with ORIF</w:t>
      </w:r>
    </w:p>
    <w:p w14:paraId="5D3DE20D" w14:textId="267A05A2" w:rsidR="007D7A94" w:rsidRDefault="007D7A94" w:rsidP="0077459A">
      <w:pPr>
        <w:rPr>
          <w:rFonts w:cs="Arial"/>
          <w:u w:color="262626"/>
          <w:lang w:val="en-US"/>
        </w:rPr>
      </w:pPr>
      <w:r>
        <w:rPr>
          <w:rFonts w:cs="Arial"/>
          <w:u w:color="262626"/>
          <w:lang w:val="en-US"/>
        </w:rPr>
        <w:t>JBJS Am</w:t>
      </w:r>
      <w:r>
        <w:rPr>
          <w:rFonts w:cs="Arial"/>
          <w:u w:color="262626"/>
          <w:lang w:val="en-US"/>
        </w:rPr>
        <w:tab/>
      </w:r>
      <w:r>
        <w:rPr>
          <w:rFonts w:cs="Arial"/>
          <w:u w:color="262626"/>
          <w:lang w:val="en-US"/>
        </w:rPr>
        <w:tab/>
        <w:t>Coetzee et al</w:t>
      </w:r>
      <w:r>
        <w:rPr>
          <w:rFonts w:cs="Arial"/>
          <w:u w:color="262626"/>
          <w:lang w:val="en-US"/>
        </w:rPr>
        <w:tab/>
      </w:r>
      <w:r>
        <w:rPr>
          <w:rFonts w:cs="Arial"/>
          <w:u w:color="262626"/>
          <w:lang w:val="en-US"/>
        </w:rPr>
        <w:tab/>
        <w:t>2007</w:t>
      </w:r>
    </w:p>
    <w:p w14:paraId="2A15EEE1" w14:textId="77777777" w:rsidR="007D7A94" w:rsidRDefault="007D7A94" w:rsidP="0077459A">
      <w:pPr>
        <w:rPr>
          <w:rFonts w:cs="Arial"/>
          <w:u w:color="262626"/>
          <w:lang w:val="en-US"/>
        </w:rPr>
      </w:pPr>
    </w:p>
    <w:p w14:paraId="14063F22" w14:textId="561F5228" w:rsidR="00732287" w:rsidRPr="00732287" w:rsidRDefault="00732287" w:rsidP="0077459A">
      <w:pPr>
        <w:rPr>
          <w:rFonts w:cs="Arial"/>
          <w:u w:color="262626"/>
          <w:lang w:val="en-US"/>
        </w:rPr>
      </w:pPr>
      <w:r w:rsidRPr="00732287">
        <w:rPr>
          <w:rFonts w:cs="Arial"/>
          <w:u w:color="262626"/>
          <w:lang w:val="en-US"/>
        </w:rPr>
        <w:t xml:space="preserve">41 </w:t>
      </w:r>
      <w:proofErr w:type="spellStart"/>
      <w:r w:rsidRPr="00732287">
        <w:rPr>
          <w:rFonts w:cs="Arial"/>
          <w:u w:color="262626"/>
          <w:lang w:val="en-US"/>
        </w:rPr>
        <w:t>pts</w:t>
      </w:r>
      <w:proofErr w:type="spellEnd"/>
      <w:r w:rsidRPr="00732287">
        <w:rPr>
          <w:rFonts w:cs="Arial"/>
          <w:u w:color="262626"/>
          <w:lang w:val="en-US"/>
        </w:rPr>
        <w:t xml:space="preserve"> </w:t>
      </w:r>
      <w:r w:rsidR="0077459A">
        <w:rPr>
          <w:rFonts w:cs="Arial"/>
          <w:u w:color="262626"/>
          <w:lang w:val="en-US"/>
        </w:rPr>
        <w:t xml:space="preserve">- </w:t>
      </w:r>
      <w:r w:rsidRPr="00732287">
        <w:rPr>
          <w:rFonts w:cs="Arial"/>
          <w:u w:color="262626"/>
          <w:lang w:val="en-US"/>
        </w:rPr>
        <w:t xml:space="preserve">RCT </w:t>
      </w:r>
      <w:r w:rsidR="0077459A">
        <w:rPr>
          <w:rFonts w:cs="Arial"/>
          <w:u w:color="262626"/>
          <w:lang w:val="en-US"/>
        </w:rPr>
        <w:t xml:space="preserve">– 2yr </w:t>
      </w:r>
      <w:proofErr w:type="spellStart"/>
      <w:r w:rsidR="0077459A">
        <w:rPr>
          <w:rFonts w:cs="Arial"/>
          <w:u w:color="262626"/>
          <w:lang w:val="en-US"/>
        </w:rPr>
        <w:t>followup</w:t>
      </w:r>
      <w:proofErr w:type="spellEnd"/>
    </w:p>
    <w:p w14:paraId="1C040BAB" w14:textId="77777777" w:rsidR="0077459A" w:rsidRDefault="0077459A" w:rsidP="00732287">
      <w:pPr>
        <w:rPr>
          <w:rFonts w:cs="Arial"/>
          <w:u w:color="262626"/>
          <w:lang w:val="en-US"/>
        </w:rPr>
      </w:pPr>
    </w:p>
    <w:p w14:paraId="6F267F08" w14:textId="77777777" w:rsidR="00732287" w:rsidRPr="00732287" w:rsidRDefault="00732287" w:rsidP="00732287">
      <w:pPr>
        <w:rPr>
          <w:rFonts w:cs="Arial"/>
          <w:u w:color="262626"/>
          <w:lang w:val="en-US"/>
        </w:rPr>
      </w:pPr>
      <w:r w:rsidRPr="00732287">
        <w:rPr>
          <w:rFonts w:cs="Arial"/>
          <w:u w:color="262626"/>
          <w:lang w:val="en-US"/>
        </w:rPr>
        <w:t xml:space="preserve">5 </w:t>
      </w:r>
      <w:proofErr w:type="spellStart"/>
      <w:r w:rsidRPr="00732287">
        <w:rPr>
          <w:rFonts w:cs="Arial"/>
          <w:u w:color="262626"/>
          <w:lang w:val="en-US"/>
        </w:rPr>
        <w:t>pts</w:t>
      </w:r>
      <w:proofErr w:type="spellEnd"/>
      <w:r w:rsidRPr="00732287">
        <w:rPr>
          <w:rFonts w:cs="Arial"/>
          <w:u w:color="262626"/>
          <w:lang w:val="en-US"/>
        </w:rPr>
        <w:t xml:space="preserve"> in ORIF group had OA and required fusion </w:t>
      </w:r>
    </w:p>
    <w:p w14:paraId="32E458BB" w14:textId="5D33F522" w:rsidR="00732287" w:rsidRPr="00732287" w:rsidRDefault="00732287" w:rsidP="00732287">
      <w:pPr>
        <w:rPr>
          <w:rFonts w:cs="Arial"/>
          <w:u w:color="262626"/>
          <w:lang w:val="en-US"/>
        </w:rPr>
      </w:pPr>
      <w:proofErr w:type="spellStart"/>
      <w:r w:rsidRPr="00732287">
        <w:rPr>
          <w:rFonts w:cs="Arial"/>
          <w:u w:color="262626"/>
          <w:lang w:val="en-US"/>
        </w:rPr>
        <w:t>Artrodesis</w:t>
      </w:r>
      <w:proofErr w:type="spellEnd"/>
      <w:r w:rsidRPr="00732287">
        <w:rPr>
          <w:rFonts w:cs="Arial"/>
          <w:u w:color="262626"/>
          <w:lang w:val="en-US"/>
        </w:rPr>
        <w:t xml:space="preserve"> group - 92% of their </w:t>
      </w:r>
      <w:proofErr w:type="spellStart"/>
      <w:r w:rsidRPr="00732287">
        <w:rPr>
          <w:rFonts w:cs="Arial"/>
          <w:u w:color="262626"/>
          <w:lang w:val="en-US"/>
        </w:rPr>
        <w:t>preinjury</w:t>
      </w:r>
      <w:proofErr w:type="spellEnd"/>
      <w:r w:rsidRPr="00732287">
        <w:rPr>
          <w:rFonts w:cs="Arial"/>
          <w:u w:color="262626"/>
          <w:lang w:val="en-US"/>
        </w:rPr>
        <w:t xml:space="preserve"> level</w:t>
      </w:r>
      <w:r w:rsidR="0077459A">
        <w:rPr>
          <w:rFonts w:cs="Arial"/>
          <w:u w:color="262626"/>
          <w:lang w:val="en-US"/>
        </w:rPr>
        <w:t xml:space="preserve"> </w:t>
      </w:r>
      <w:proofErr w:type="spellStart"/>
      <w:r w:rsidR="0077459A">
        <w:rPr>
          <w:rFonts w:cs="Arial"/>
          <w:u w:color="262626"/>
          <w:lang w:val="en-US"/>
        </w:rPr>
        <w:t>vs</w:t>
      </w:r>
      <w:proofErr w:type="spellEnd"/>
      <w:r w:rsidR="0077459A">
        <w:rPr>
          <w:rFonts w:cs="Arial"/>
          <w:u w:color="262626"/>
          <w:lang w:val="en-US"/>
        </w:rPr>
        <w:t xml:space="preserve"> 65% ORIF group</w:t>
      </w:r>
    </w:p>
    <w:p w14:paraId="17EDA3F8" w14:textId="77777777" w:rsidR="00732287" w:rsidRDefault="00732287" w:rsidP="00DE1695">
      <w:pPr>
        <w:rPr>
          <w:rFonts w:cs="Arial"/>
          <w:u w:color="262626"/>
          <w:lang w:val="en-US"/>
        </w:rPr>
      </w:pPr>
    </w:p>
    <w:p w14:paraId="1D70B106" w14:textId="77777777" w:rsidR="00732287" w:rsidRDefault="00732287" w:rsidP="00732287">
      <w:pPr>
        <w:rPr>
          <w:rFonts w:cs="Arial"/>
          <w:b/>
          <w:bCs/>
          <w:u w:color="262626"/>
        </w:rPr>
      </w:pPr>
    </w:p>
    <w:p w14:paraId="68637482" w14:textId="77777777" w:rsidR="00732287" w:rsidRPr="00732287" w:rsidRDefault="00732287" w:rsidP="00732287">
      <w:pPr>
        <w:pStyle w:val="Heading2"/>
        <w:rPr>
          <w:u w:color="262626"/>
          <w:lang w:val="en-US"/>
        </w:rPr>
      </w:pPr>
      <w:r w:rsidRPr="00732287">
        <w:rPr>
          <w:u w:color="262626"/>
          <w:lang w:val="en-US"/>
        </w:rPr>
        <w:t xml:space="preserve">Operative Compared with Non-operative Treatment of Displaced Intra-Articular Calcaneal Fractures </w:t>
      </w:r>
    </w:p>
    <w:p w14:paraId="3236CDCD" w14:textId="45B6DC38" w:rsidR="007D7A94" w:rsidRDefault="007D7A94" w:rsidP="00732287">
      <w:pPr>
        <w:rPr>
          <w:rFonts w:cs="Arial"/>
          <w:u w:color="262626"/>
          <w:lang w:val="en-US"/>
        </w:rPr>
      </w:pPr>
      <w:r>
        <w:rPr>
          <w:rFonts w:cs="Arial"/>
          <w:u w:color="262626"/>
          <w:lang w:val="en-US"/>
        </w:rPr>
        <w:t>JBJS Am</w:t>
      </w:r>
      <w:r>
        <w:rPr>
          <w:rFonts w:cs="Arial"/>
          <w:u w:color="262626"/>
          <w:lang w:val="en-US"/>
        </w:rPr>
        <w:tab/>
      </w:r>
      <w:r>
        <w:rPr>
          <w:rFonts w:cs="Arial"/>
          <w:u w:color="262626"/>
          <w:lang w:val="en-US"/>
        </w:rPr>
        <w:tab/>
        <w:t>Buckley</w:t>
      </w:r>
      <w:r>
        <w:rPr>
          <w:rFonts w:cs="Arial"/>
          <w:u w:color="262626"/>
          <w:lang w:val="en-US"/>
        </w:rPr>
        <w:tab/>
      </w:r>
      <w:r>
        <w:rPr>
          <w:rFonts w:cs="Arial"/>
          <w:u w:color="262626"/>
          <w:lang w:val="en-US"/>
        </w:rPr>
        <w:tab/>
        <w:t>2002</w:t>
      </w:r>
    </w:p>
    <w:p w14:paraId="7B8202EB" w14:textId="77777777" w:rsidR="007D7A94" w:rsidRDefault="007D7A94" w:rsidP="00732287">
      <w:pPr>
        <w:rPr>
          <w:rFonts w:cs="Arial"/>
          <w:u w:color="262626"/>
          <w:lang w:val="en-US"/>
        </w:rPr>
      </w:pPr>
    </w:p>
    <w:p w14:paraId="4A799E74" w14:textId="77777777" w:rsidR="00732287" w:rsidRPr="00732287" w:rsidRDefault="00732287" w:rsidP="00732287">
      <w:pPr>
        <w:rPr>
          <w:rFonts w:cs="Arial"/>
          <w:u w:color="262626"/>
          <w:lang w:val="en-US"/>
        </w:rPr>
      </w:pPr>
      <w:r w:rsidRPr="00732287">
        <w:rPr>
          <w:rFonts w:cs="Arial"/>
          <w:u w:color="262626"/>
          <w:lang w:val="en-US"/>
        </w:rPr>
        <w:t>4 trauma centers Prospective RCT</w:t>
      </w:r>
    </w:p>
    <w:p w14:paraId="36C0B251" w14:textId="77777777" w:rsidR="00732287" w:rsidRPr="00732287" w:rsidRDefault="00732287" w:rsidP="00732287">
      <w:pPr>
        <w:rPr>
          <w:rFonts w:cs="Arial"/>
          <w:u w:color="262626"/>
          <w:lang w:val="en-US"/>
        </w:rPr>
      </w:pPr>
      <w:r w:rsidRPr="00732287">
        <w:rPr>
          <w:rFonts w:cs="Arial"/>
          <w:u w:color="262626"/>
          <w:lang w:val="en-US"/>
        </w:rPr>
        <w:t>Validated outcome measures -SF-36</w:t>
      </w:r>
      <w:r w:rsidRPr="00732287">
        <w:rPr>
          <w:rFonts w:cs="Arial"/>
          <w:u w:color="262626"/>
          <w:lang w:val="en-US"/>
        </w:rPr>
        <w:br/>
        <w:t xml:space="preserve">424 with 471 displaced intra-articular calcaneal fractures </w:t>
      </w:r>
    </w:p>
    <w:p w14:paraId="19858FAA" w14:textId="77777777" w:rsidR="00732287" w:rsidRPr="00732287" w:rsidRDefault="00732287" w:rsidP="00732287">
      <w:pPr>
        <w:rPr>
          <w:rFonts w:cs="Arial"/>
          <w:u w:color="262626"/>
          <w:lang w:val="en-US"/>
        </w:rPr>
      </w:pPr>
      <w:r w:rsidRPr="00732287">
        <w:rPr>
          <w:rFonts w:cs="Arial"/>
          <w:u w:color="262626"/>
          <w:lang w:val="en-US"/>
        </w:rPr>
        <w:t>309 (73%) 2-8yr FU</w:t>
      </w:r>
    </w:p>
    <w:p w14:paraId="33E5361D" w14:textId="551A88F0" w:rsidR="00732287" w:rsidRPr="00732287" w:rsidRDefault="00732287" w:rsidP="00732287">
      <w:pPr>
        <w:rPr>
          <w:rFonts w:cs="Arial"/>
          <w:u w:color="262626"/>
          <w:lang w:val="en-US"/>
        </w:rPr>
      </w:pPr>
      <w:r w:rsidRPr="00732287">
        <w:rPr>
          <w:rFonts w:cs="Arial"/>
          <w:u w:color="262626"/>
          <w:lang w:val="en-US"/>
        </w:rPr>
        <w:t>The outcomes after non-operative treatment were not found to be different from t</w:t>
      </w:r>
      <w:r w:rsidR="002867E5">
        <w:rPr>
          <w:rFonts w:cs="Arial"/>
          <w:u w:color="262626"/>
          <w:lang w:val="en-US"/>
        </w:rPr>
        <w:t>hose after operative treatment</w:t>
      </w:r>
    </w:p>
    <w:p w14:paraId="03544B4E" w14:textId="73BBD329" w:rsidR="00732287" w:rsidRPr="00732287" w:rsidRDefault="002867E5" w:rsidP="002867E5">
      <w:pPr>
        <w:rPr>
          <w:rFonts w:cs="Arial"/>
          <w:u w:color="262626"/>
          <w:lang w:val="en-US"/>
        </w:rPr>
      </w:pPr>
      <w:r>
        <w:rPr>
          <w:rFonts w:cs="Arial"/>
          <w:u w:color="262626"/>
          <w:lang w:val="en-US"/>
        </w:rPr>
        <w:t>T</w:t>
      </w:r>
      <w:r w:rsidR="00732287" w:rsidRPr="00732287">
        <w:rPr>
          <w:rFonts w:cs="Arial"/>
          <w:u w:color="262626"/>
          <w:lang w:val="en-US"/>
        </w:rPr>
        <w:t xml:space="preserve">he patients who were not receiving Workers' Compensation and were managed operatively had significantly higher satisfaction scores </w:t>
      </w:r>
    </w:p>
    <w:p w14:paraId="3AE6DF01" w14:textId="77777777" w:rsidR="00732287" w:rsidRDefault="00732287" w:rsidP="00DE1695">
      <w:pPr>
        <w:rPr>
          <w:rFonts w:cs="Arial"/>
          <w:u w:color="262626"/>
          <w:lang w:val="en-US"/>
        </w:rPr>
      </w:pPr>
    </w:p>
    <w:p w14:paraId="47A42EC0" w14:textId="77777777" w:rsidR="002B7A1F" w:rsidRDefault="002B7A1F" w:rsidP="002B7A1F">
      <w:pPr>
        <w:pStyle w:val="Heading2"/>
        <w:rPr>
          <w:lang w:val="en-US"/>
        </w:rPr>
      </w:pPr>
      <w:r>
        <w:rPr>
          <w:lang w:val="en-US"/>
        </w:rPr>
        <w:t>HIGH TIBIAL OSTEOTOMY VERSUS UNICOMPARTMENTAL KNEE ARTHROPLASTY FOR MEDIAL COMPARTMENT ARTHROSIS OF THE KNEE: A REVIEW OF THE LITERATURE</w:t>
      </w:r>
    </w:p>
    <w:p w14:paraId="2669A83C" w14:textId="77777777" w:rsidR="002B7A1F" w:rsidRPr="002B7A1F" w:rsidRDefault="002B7A1F" w:rsidP="002B7A1F">
      <w:pPr>
        <w:widowControl w:val="0"/>
        <w:autoSpaceDE w:val="0"/>
        <w:autoSpaceDN w:val="0"/>
        <w:adjustRightInd w:val="0"/>
        <w:rPr>
          <w:rFonts w:cs="Arial"/>
          <w:bCs/>
          <w:lang w:val="en-US"/>
        </w:rPr>
      </w:pPr>
      <w:r w:rsidRPr="002B7A1F">
        <w:rPr>
          <w:rFonts w:cs="Arial"/>
          <w:bCs/>
          <w:lang w:val="en-US"/>
        </w:rPr>
        <w:t xml:space="preserve">Iowa </w:t>
      </w:r>
      <w:proofErr w:type="spellStart"/>
      <w:r w:rsidRPr="002B7A1F">
        <w:rPr>
          <w:rFonts w:cs="Arial"/>
          <w:bCs/>
          <w:lang w:val="en-US"/>
        </w:rPr>
        <w:t>Orthop</w:t>
      </w:r>
      <w:proofErr w:type="spellEnd"/>
      <w:r w:rsidRPr="002B7A1F">
        <w:rPr>
          <w:rFonts w:cs="Arial"/>
          <w:bCs/>
          <w:lang w:val="en-US"/>
        </w:rPr>
        <w:t xml:space="preserve"> J</w:t>
      </w:r>
      <w:r w:rsidRPr="002B7A1F">
        <w:rPr>
          <w:rFonts w:cs="Arial"/>
          <w:bCs/>
          <w:lang w:val="en-US"/>
        </w:rPr>
        <w:tab/>
      </w:r>
      <w:r w:rsidRPr="002B7A1F">
        <w:rPr>
          <w:rFonts w:cs="Arial"/>
          <w:bCs/>
          <w:lang w:val="en-US"/>
        </w:rPr>
        <w:tab/>
        <w:t>Federico et al   2010</w:t>
      </w:r>
    </w:p>
    <w:p w14:paraId="1F9AF0F5" w14:textId="5B5C2446" w:rsidR="00FF54EC" w:rsidRDefault="002B7A1F" w:rsidP="00DE1695">
      <w:pPr>
        <w:rPr>
          <w:rFonts w:cs="Arial"/>
          <w:u w:color="262626"/>
          <w:lang w:val="en-US"/>
        </w:rPr>
      </w:pPr>
      <w:proofErr w:type="gramStart"/>
      <w:r w:rsidRPr="002B7A1F">
        <w:rPr>
          <w:rFonts w:cs="Arial"/>
          <w:u w:color="262626"/>
          <w:lang w:val="en-US"/>
        </w:rPr>
        <w:t>slightly</w:t>
      </w:r>
      <w:proofErr w:type="gramEnd"/>
      <w:r w:rsidRPr="002B7A1F">
        <w:rPr>
          <w:rFonts w:cs="Arial"/>
          <w:u w:color="262626"/>
          <w:lang w:val="en-US"/>
        </w:rPr>
        <w:t xml:space="preserve"> better results for UKA in terms of surv</w:t>
      </w:r>
      <w:r>
        <w:rPr>
          <w:rFonts w:cs="Arial"/>
          <w:u w:color="262626"/>
          <w:lang w:val="en-US"/>
        </w:rPr>
        <w:t>ivorship and functional outcome</w:t>
      </w:r>
    </w:p>
    <w:p w14:paraId="31CE4CB8" w14:textId="77777777" w:rsidR="00673CA6" w:rsidRDefault="00673CA6" w:rsidP="00DE1695">
      <w:pPr>
        <w:rPr>
          <w:rFonts w:cs="Arial"/>
          <w:u w:color="262626"/>
          <w:lang w:val="en-US"/>
        </w:rPr>
      </w:pPr>
    </w:p>
    <w:p w14:paraId="5261F9B2" w14:textId="7B938CC4" w:rsidR="00673CA6" w:rsidRDefault="00673CA6" w:rsidP="00DE1695">
      <w:pPr>
        <w:rPr>
          <w:rFonts w:cs="Arial"/>
          <w:u w:color="262626"/>
          <w:lang w:val="en-US"/>
        </w:rPr>
      </w:pPr>
      <w:r>
        <w:rPr>
          <w:rFonts w:cs="Arial"/>
          <w:u w:color="262626"/>
          <w:lang w:val="en-US"/>
        </w:rPr>
        <w:t>TKA is revision option for both groups – no difference</w:t>
      </w:r>
    </w:p>
    <w:p w14:paraId="668C3DBA" w14:textId="77777777" w:rsidR="00673CA6" w:rsidRDefault="00673CA6" w:rsidP="00DE1695">
      <w:pPr>
        <w:rPr>
          <w:rFonts w:cs="Arial"/>
          <w:u w:color="262626"/>
          <w:lang w:val="en-US"/>
        </w:rPr>
      </w:pPr>
    </w:p>
    <w:p w14:paraId="2D28F298" w14:textId="16EF8BE3" w:rsidR="00673CA6" w:rsidRPr="00673CA6" w:rsidRDefault="00673CA6" w:rsidP="00DE1695">
      <w:pPr>
        <w:rPr>
          <w:rFonts w:cs="Arial"/>
          <w:color w:val="C0504D" w:themeColor="accent2"/>
          <w:sz w:val="30"/>
          <w:u w:color="262626"/>
          <w:lang w:val="en-US"/>
        </w:rPr>
      </w:pPr>
      <w:r w:rsidRPr="00673CA6">
        <w:rPr>
          <w:rFonts w:cs="Arial"/>
          <w:color w:val="C0504D" w:themeColor="accent2"/>
          <w:sz w:val="30"/>
          <w:u w:color="262626"/>
          <w:lang w:val="en-US"/>
        </w:rPr>
        <w:t>NJR shows 12% CPP for UKR and 20% CPP for PFJ Replacement</w:t>
      </w:r>
    </w:p>
    <w:p w14:paraId="6617FC7E" w14:textId="77777777" w:rsidR="00673CA6" w:rsidRDefault="00673CA6" w:rsidP="00673CA6">
      <w:pPr>
        <w:rPr>
          <w:rFonts w:cs="Arial"/>
          <w:u w:color="262626"/>
          <w:lang w:val="en-US"/>
        </w:rPr>
      </w:pPr>
    </w:p>
    <w:p w14:paraId="413E5879" w14:textId="77777777" w:rsidR="00673CA6" w:rsidRDefault="00673CA6" w:rsidP="00673CA6">
      <w:pPr>
        <w:pStyle w:val="Heading2"/>
        <w:rPr>
          <w:u w:color="262626"/>
          <w:lang w:val="en-US"/>
        </w:rPr>
      </w:pPr>
      <w:r w:rsidRPr="00673CA6">
        <w:rPr>
          <w:u w:color="262626"/>
          <w:lang w:val="en-US"/>
        </w:rPr>
        <w:t xml:space="preserve">Total knee </w:t>
      </w:r>
      <w:proofErr w:type="spellStart"/>
      <w:r w:rsidRPr="00673CA6">
        <w:rPr>
          <w:u w:color="262626"/>
          <w:lang w:val="en-US"/>
        </w:rPr>
        <w:t>arthroplasty</w:t>
      </w:r>
      <w:proofErr w:type="spellEnd"/>
      <w:r w:rsidRPr="00673CA6">
        <w:rPr>
          <w:u w:color="262626"/>
          <w:lang w:val="en-US"/>
        </w:rPr>
        <w:t xml:space="preserve"> after high </w:t>
      </w:r>
      <w:proofErr w:type="spellStart"/>
      <w:r w:rsidRPr="00673CA6">
        <w:rPr>
          <w:u w:color="262626"/>
          <w:lang w:val="en-US"/>
        </w:rPr>
        <w:t>tibial</w:t>
      </w:r>
      <w:proofErr w:type="spellEnd"/>
      <w:r w:rsidRPr="00673CA6">
        <w:rPr>
          <w:u w:color="262626"/>
          <w:lang w:val="en-US"/>
        </w:rPr>
        <w:t xml:space="preserve"> osteotomy. </w:t>
      </w:r>
      <w:proofErr w:type="gramStart"/>
      <w:r w:rsidRPr="00673CA6">
        <w:rPr>
          <w:u w:color="262626"/>
          <w:lang w:val="en-US"/>
        </w:rPr>
        <w:t>A systematic review.</w:t>
      </w:r>
      <w:proofErr w:type="gramEnd"/>
      <w:r w:rsidRPr="00673CA6">
        <w:rPr>
          <w:u w:color="262626"/>
          <w:lang w:val="en-US"/>
        </w:rPr>
        <w:t xml:space="preserve"> </w:t>
      </w:r>
    </w:p>
    <w:p w14:paraId="5EA226DF" w14:textId="407A3AF9" w:rsidR="00673CA6" w:rsidRDefault="00673CA6" w:rsidP="00673CA6">
      <w:pPr>
        <w:rPr>
          <w:rFonts w:cs="Arial"/>
          <w:u w:color="262626"/>
          <w:lang w:val="en-US"/>
        </w:rPr>
      </w:pPr>
      <w:r w:rsidRPr="00673CA6">
        <w:rPr>
          <w:rFonts w:cs="Arial"/>
          <w:iCs/>
          <w:u w:color="262626"/>
          <w:lang w:val="en-US"/>
        </w:rPr>
        <w:t xml:space="preserve">BMC Musculoskeletal </w:t>
      </w:r>
      <w:proofErr w:type="spellStart"/>
      <w:r w:rsidRPr="00673CA6">
        <w:rPr>
          <w:rFonts w:cs="Arial"/>
          <w:iCs/>
          <w:u w:color="262626"/>
          <w:lang w:val="en-US"/>
        </w:rPr>
        <w:t>Disord</w:t>
      </w:r>
      <w:proofErr w:type="spellEnd"/>
      <w:r w:rsidRPr="00673CA6">
        <w:rPr>
          <w:rFonts w:cs="Arial"/>
          <w:iCs/>
          <w:u w:color="262626"/>
          <w:lang w:val="en-US"/>
        </w:rPr>
        <w:t xml:space="preserve"> </w:t>
      </w:r>
      <w:r w:rsidRPr="00673CA6">
        <w:rPr>
          <w:rFonts w:cs="Arial"/>
          <w:iCs/>
          <w:u w:color="262626"/>
          <w:lang w:val="en-US"/>
        </w:rPr>
        <w:tab/>
      </w:r>
      <w:r w:rsidRPr="00673CA6">
        <w:rPr>
          <w:rFonts w:cs="Arial"/>
          <w:iCs/>
          <w:u w:color="262626"/>
          <w:lang w:val="en-US"/>
        </w:rPr>
        <w:tab/>
        <w:t xml:space="preserve">van </w:t>
      </w:r>
      <w:proofErr w:type="spellStart"/>
      <w:r w:rsidRPr="00673CA6">
        <w:rPr>
          <w:rFonts w:cs="Arial"/>
          <w:iCs/>
          <w:u w:color="262626"/>
          <w:lang w:val="en-US"/>
        </w:rPr>
        <w:t>Raajj</w:t>
      </w:r>
      <w:proofErr w:type="spellEnd"/>
      <w:r w:rsidRPr="00673CA6">
        <w:rPr>
          <w:rFonts w:cs="Arial"/>
          <w:iCs/>
          <w:u w:color="262626"/>
          <w:lang w:val="en-US"/>
        </w:rPr>
        <w:t xml:space="preserve"> et al</w:t>
      </w:r>
      <w:r w:rsidRPr="00673CA6">
        <w:rPr>
          <w:rFonts w:cs="Arial"/>
          <w:iCs/>
          <w:u w:color="262626"/>
          <w:lang w:val="en-US"/>
        </w:rPr>
        <w:tab/>
      </w:r>
      <w:r w:rsidRPr="00673CA6">
        <w:rPr>
          <w:rFonts w:cs="Arial"/>
          <w:iCs/>
          <w:u w:color="262626"/>
          <w:lang w:val="en-US"/>
        </w:rPr>
        <w:tab/>
      </w:r>
      <w:r w:rsidRPr="00673CA6">
        <w:rPr>
          <w:rFonts w:cs="Arial"/>
          <w:u w:color="262626"/>
          <w:lang w:val="en-US"/>
        </w:rPr>
        <w:t>2009</w:t>
      </w:r>
    </w:p>
    <w:p w14:paraId="2C353B2C" w14:textId="77777777" w:rsidR="00673CA6" w:rsidRDefault="00673CA6" w:rsidP="00673CA6">
      <w:pPr>
        <w:rPr>
          <w:rFonts w:cs="Arial"/>
          <w:u w:color="262626"/>
          <w:lang w:val="en-US"/>
        </w:rPr>
      </w:pPr>
    </w:p>
    <w:p w14:paraId="5EDC9E4E" w14:textId="1F8FD463" w:rsidR="00673CA6" w:rsidRDefault="00673CA6" w:rsidP="00673CA6">
      <w:pPr>
        <w:rPr>
          <w:rFonts w:cs="Arial"/>
          <w:u w:color="262626"/>
          <w:lang w:val="en-US"/>
        </w:rPr>
      </w:pPr>
      <w:r>
        <w:rPr>
          <w:rFonts w:cs="Arial"/>
          <w:u w:color="262626"/>
          <w:lang w:val="en-US"/>
        </w:rPr>
        <w:t>P</w:t>
      </w:r>
      <w:r w:rsidRPr="00673CA6">
        <w:rPr>
          <w:rFonts w:cs="Arial"/>
          <w:u w:color="262626"/>
          <w:lang w:val="en-US"/>
        </w:rPr>
        <w:t xml:space="preserve">rolonged surgical time, extra-operative procedures and less postoperative knee range of motion (ROM), but no increase in revision surgeries for patients receiving TKA after prior HTO compared with </w:t>
      </w:r>
      <w:r>
        <w:rPr>
          <w:rFonts w:cs="Arial"/>
          <w:u w:color="262626"/>
          <w:lang w:val="en-US"/>
        </w:rPr>
        <w:t>patients receiving primary TKA</w:t>
      </w:r>
    </w:p>
    <w:p w14:paraId="6EADE0A4" w14:textId="77777777" w:rsidR="00673CA6" w:rsidRDefault="00673CA6" w:rsidP="00673CA6">
      <w:pPr>
        <w:rPr>
          <w:rFonts w:cs="Arial"/>
          <w:u w:color="262626"/>
          <w:lang w:val="en-US"/>
        </w:rPr>
      </w:pPr>
    </w:p>
    <w:p w14:paraId="6BD3A783" w14:textId="77777777" w:rsidR="00673CA6" w:rsidRPr="00673CA6" w:rsidRDefault="00673CA6" w:rsidP="00673CA6">
      <w:pPr>
        <w:rPr>
          <w:rFonts w:cs="Arial"/>
          <w:u w:color="262626"/>
          <w:lang w:val="en-US"/>
        </w:rPr>
      </w:pPr>
    </w:p>
    <w:p w14:paraId="112BE339" w14:textId="77777777" w:rsidR="00673CA6" w:rsidRPr="00673CA6" w:rsidRDefault="00673CA6" w:rsidP="00673CA6">
      <w:pPr>
        <w:rPr>
          <w:rFonts w:cs="Arial"/>
          <w:u w:color="262626"/>
          <w:lang w:val="en-US"/>
        </w:rPr>
      </w:pPr>
    </w:p>
    <w:p w14:paraId="2609EC99" w14:textId="77777777" w:rsidR="00673CA6" w:rsidRPr="00782D81" w:rsidRDefault="00673CA6" w:rsidP="00DE1695">
      <w:pPr>
        <w:rPr>
          <w:rFonts w:cs="Arial"/>
          <w:u w:color="262626"/>
          <w:lang w:val="en-US"/>
        </w:rPr>
      </w:pPr>
    </w:p>
    <w:sectPr w:rsidR="00673CA6" w:rsidRPr="00782D81" w:rsidSect="007D7A94">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3550C32"/>
    <w:multiLevelType w:val="hybridMultilevel"/>
    <w:tmpl w:val="3698D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293799"/>
    <w:multiLevelType w:val="multilevel"/>
    <w:tmpl w:val="70E0D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F0D6A37"/>
    <w:multiLevelType w:val="multilevel"/>
    <w:tmpl w:val="0C4E792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4636516"/>
    <w:multiLevelType w:val="hybridMultilevel"/>
    <w:tmpl w:val="9E3A8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454F23"/>
    <w:multiLevelType w:val="hybridMultilevel"/>
    <w:tmpl w:val="91666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AFE"/>
    <w:rsid w:val="00015260"/>
    <w:rsid w:val="00022885"/>
    <w:rsid w:val="0003263E"/>
    <w:rsid w:val="00056C95"/>
    <w:rsid w:val="0006685D"/>
    <w:rsid w:val="00071F25"/>
    <w:rsid w:val="000D08CF"/>
    <w:rsid w:val="001A145D"/>
    <w:rsid w:val="0021317E"/>
    <w:rsid w:val="00234878"/>
    <w:rsid w:val="002352D1"/>
    <w:rsid w:val="00250FC8"/>
    <w:rsid w:val="002867E5"/>
    <w:rsid w:val="002B7A1F"/>
    <w:rsid w:val="002D7F8E"/>
    <w:rsid w:val="002E362B"/>
    <w:rsid w:val="003A50B1"/>
    <w:rsid w:val="003D0B1C"/>
    <w:rsid w:val="0043097B"/>
    <w:rsid w:val="00440848"/>
    <w:rsid w:val="00466FBE"/>
    <w:rsid w:val="004D0F2C"/>
    <w:rsid w:val="004E29EE"/>
    <w:rsid w:val="004F486E"/>
    <w:rsid w:val="0050193E"/>
    <w:rsid w:val="00672A33"/>
    <w:rsid w:val="00673CA6"/>
    <w:rsid w:val="00681C3A"/>
    <w:rsid w:val="006E3FBD"/>
    <w:rsid w:val="00732287"/>
    <w:rsid w:val="0077459A"/>
    <w:rsid w:val="00782D81"/>
    <w:rsid w:val="007D7A94"/>
    <w:rsid w:val="00804460"/>
    <w:rsid w:val="008313C1"/>
    <w:rsid w:val="00837DF9"/>
    <w:rsid w:val="0090416D"/>
    <w:rsid w:val="009354C7"/>
    <w:rsid w:val="0094551E"/>
    <w:rsid w:val="0095241A"/>
    <w:rsid w:val="009775B5"/>
    <w:rsid w:val="009A3259"/>
    <w:rsid w:val="009D660E"/>
    <w:rsid w:val="00A17AB5"/>
    <w:rsid w:val="00A95DF0"/>
    <w:rsid w:val="00AD2B31"/>
    <w:rsid w:val="00BE01FD"/>
    <w:rsid w:val="00BF2F42"/>
    <w:rsid w:val="00C73753"/>
    <w:rsid w:val="00C9390E"/>
    <w:rsid w:val="00CF3208"/>
    <w:rsid w:val="00D32915"/>
    <w:rsid w:val="00D90D5B"/>
    <w:rsid w:val="00DE1695"/>
    <w:rsid w:val="00EA559B"/>
    <w:rsid w:val="00EB4AFE"/>
    <w:rsid w:val="00EE0311"/>
    <w:rsid w:val="00F31BBD"/>
    <w:rsid w:val="00F41922"/>
    <w:rsid w:val="00F80614"/>
    <w:rsid w:val="00FF54EC"/>
    <w:rsid w:val="00FF65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C6F1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16D"/>
    <w:rPr>
      <w:lang w:val="en-GB"/>
    </w:rPr>
  </w:style>
  <w:style w:type="paragraph" w:styleId="Heading1">
    <w:name w:val="heading 1"/>
    <w:basedOn w:val="Normal"/>
    <w:next w:val="Normal"/>
    <w:link w:val="Heading1Char"/>
    <w:uiPriority w:val="9"/>
    <w:qFormat/>
    <w:rsid w:val="00EB4AF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B4AF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4AFE"/>
    <w:rPr>
      <w:color w:val="0000FF" w:themeColor="hyperlink"/>
      <w:u w:val="single"/>
    </w:rPr>
  </w:style>
  <w:style w:type="character" w:customStyle="1" w:styleId="Heading2Char">
    <w:name w:val="Heading 2 Char"/>
    <w:basedOn w:val="DefaultParagraphFont"/>
    <w:link w:val="Heading2"/>
    <w:uiPriority w:val="9"/>
    <w:rsid w:val="00EB4AFE"/>
    <w:rPr>
      <w:rFonts w:asciiTheme="majorHAnsi" w:eastAsiaTheme="majorEastAsia" w:hAnsiTheme="majorHAnsi" w:cstheme="majorBidi"/>
      <w:b/>
      <w:bCs/>
      <w:color w:val="4F81BD" w:themeColor="accent1"/>
      <w:sz w:val="26"/>
      <w:szCs w:val="26"/>
      <w:lang w:val="en-GB"/>
    </w:rPr>
  </w:style>
  <w:style w:type="character" w:customStyle="1" w:styleId="Heading1Char">
    <w:name w:val="Heading 1 Char"/>
    <w:basedOn w:val="DefaultParagraphFont"/>
    <w:link w:val="Heading1"/>
    <w:uiPriority w:val="9"/>
    <w:rsid w:val="00EB4AFE"/>
    <w:rPr>
      <w:rFonts w:asciiTheme="majorHAnsi" w:eastAsiaTheme="majorEastAsia" w:hAnsiTheme="majorHAnsi" w:cstheme="majorBidi"/>
      <w:b/>
      <w:bCs/>
      <w:color w:val="345A8A" w:themeColor="accent1" w:themeShade="B5"/>
      <w:sz w:val="32"/>
      <w:szCs w:val="32"/>
      <w:lang w:val="en-GB"/>
    </w:rPr>
  </w:style>
  <w:style w:type="paragraph" w:styleId="BalloonText">
    <w:name w:val="Balloon Text"/>
    <w:basedOn w:val="Normal"/>
    <w:link w:val="BalloonTextChar"/>
    <w:uiPriority w:val="99"/>
    <w:semiHidden/>
    <w:unhideWhenUsed/>
    <w:rsid w:val="000228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2885"/>
    <w:rPr>
      <w:rFonts w:ascii="Lucida Grande" w:hAnsi="Lucida Grande" w:cs="Lucida Grande"/>
      <w:sz w:val="18"/>
      <w:szCs w:val="18"/>
      <w:lang w:val="en-GB"/>
    </w:rPr>
  </w:style>
  <w:style w:type="paragraph" w:styleId="NormalWeb">
    <w:name w:val="Normal (Web)"/>
    <w:basedOn w:val="Normal"/>
    <w:uiPriority w:val="99"/>
    <w:unhideWhenUsed/>
    <w:rsid w:val="002352D1"/>
    <w:pPr>
      <w:spacing w:before="100" w:beforeAutospacing="1" w:after="100" w:afterAutospacing="1"/>
    </w:pPr>
    <w:rPr>
      <w:rFonts w:ascii="Times" w:hAnsi="Times" w:cs="Times New Roman"/>
      <w:sz w:val="20"/>
      <w:szCs w:val="20"/>
      <w:lang w:val="en-US"/>
    </w:rPr>
  </w:style>
  <w:style w:type="paragraph" w:styleId="NoSpacing">
    <w:name w:val="No Spacing"/>
    <w:uiPriority w:val="1"/>
    <w:qFormat/>
    <w:rsid w:val="00681C3A"/>
    <w:rPr>
      <w:lang w:val="en-GB"/>
    </w:rPr>
  </w:style>
  <w:style w:type="paragraph" w:styleId="ListParagraph">
    <w:name w:val="List Paragraph"/>
    <w:basedOn w:val="Normal"/>
    <w:uiPriority w:val="34"/>
    <w:qFormat/>
    <w:rsid w:val="00681C3A"/>
    <w:pPr>
      <w:ind w:left="720"/>
      <w:contextualSpacing/>
    </w:pPr>
  </w:style>
  <w:style w:type="table" w:styleId="TableGrid">
    <w:name w:val="Table Grid"/>
    <w:basedOn w:val="TableNormal"/>
    <w:uiPriority w:val="59"/>
    <w:rsid w:val="00A95D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2867E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67E5"/>
    <w:rPr>
      <w:rFonts w:asciiTheme="majorHAnsi" w:eastAsiaTheme="majorEastAsia" w:hAnsiTheme="majorHAnsi" w:cstheme="majorBidi"/>
      <w:color w:val="17365D" w:themeColor="text2" w:themeShade="BF"/>
      <w:spacing w:val="5"/>
      <w:kern w:val="28"/>
      <w:sz w:val="52"/>
      <w:szCs w:val="5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16D"/>
    <w:rPr>
      <w:lang w:val="en-GB"/>
    </w:rPr>
  </w:style>
  <w:style w:type="paragraph" w:styleId="Heading1">
    <w:name w:val="heading 1"/>
    <w:basedOn w:val="Normal"/>
    <w:next w:val="Normal"/>
    <w:link w:val="Heading1Char"/>
    <w:uiPriority w:val="9"/>
    <w:qFormat/>
    <w:rsid w:val="00EB4AF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B4AF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4AFE"/>
    <w:rPr>
      <w:color w:val="0000FF" w:themeColor="hyperlink"/>
      <w:u w:val="single"/>
    </w:rPr>
  </w:style>
  <w:style w:type="character" w:customStyle="1" w:styleId="Heading2Char">
    <w:name w:val="Heading 2 Char"/>
    <w:basedOn w:val="DefaultParagraphFont"/>
    <w:link w:val="Heading2"/>
    <w:uiPriority w:val="9"/>
    <w:rsid w:val="00EB4AFE"/>
    <w:rPr>
      <w:rFonts w:asciiTheme="majorHAnsi" w:eastAsiaTheme="majorEastAsia" w:hAnsiTheme="majorHAnsi" w:cstheme="majorBidi"/>
      <w:b/>
      <w:bCs/>
      <w:color w:val="4F81BD" w:themeColor="accent1"/>
      <w:sz w:val="26"/>
      <w:szCs w:val="26"/>
      <w:lang w:val="en-GB"/>
    </w:rPr>
  </w:style>
  <w:style w:type="character" w:customStyle="1" w:styleId="Heading1Char">
    <w:name w:val="Heading 1 Char"/>
    <w:basedOn w:val="DefaultParagraphFont"/>
    <w:link w:val="Heading1"/>
    <w:uiPriority w:val="9"/>
    <w:rsid w:val="00EB4AFE"/>
    <w:rPr>
      <w:rFonts w:asciiTheme="majorHAnsi" w:eastAsiaTheme="majorEastAsia" w:hAnsiTheme="majorHAnsi" w:cstheme="majorBidi"/>
      <w:b/>
      <w:bCs/>
      <w:color w:val="345A8A" w:themeColor="accent1" w:themeShade="B5"/>
      <w:sz w:val="32"/>
      <w:szCs w:val="32"/>
      <w:lang w:val="en-GB"/>
    </w:rPr>
  </w:style>
  <w:style w:type="paragraph" w:styleId="BalloonText">
    <w:name w:val="Balloon Text"/>
    <w:basedOn w:val="Normal"/>
    <w:link w:val="BalloonTextChar"/>
    <w:uiPriority w:val="99"/>
    <w:semiHidden/>
    <w:unhideWhenUsed/>
    <w:rsid w:val="000228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2885"/>
    <w:rPr>
      <w:rFonts w:ascii="Lucida Grande" w:hAnsi="Lucida Grande" w:cs="Lucida Grande"/>
      <w:sz w:val="18"/>
      <w:szCs w:val="18"/>
      <w:lang w:val="en-GB"/>
    </w:rPr>
  </w:style>
  <w:style w:type="paragraph" w:styleId="NormalWeb">
    <w:name w:val="Normal (Web)"/>
    <w:basedOn w:val="Normal"/>
    <w:uiPriority w:val="99"/>
    <w:unhideWhenUsed/>
    <w:rsid w:val="002352D1"/>
    <w:pPr>
      <w:spacing w:before="100" w:beforeAutospacing="1" w:after="100" w:afterAutospacing="1"/>
    </w:pPr>
    <w:rPr>
      <w:rFonts w:ascii="Times" w:hAnsi="Times" w:cs="Times New Roman"/>
      <w:sz w:val="20"/>
      <w:szCs w:val="20"/>
      <w:lang w:val="en-US"/>
    </w:rPr>
  </w:style>
  <w:style w:type="paragraph" w:styleId="NoSpacing">
    <w:name w:val="No Spacing"/>
    <w:uiPriority w:val="1"/>
    <w:qFormat/>
    <w:rsid w:val="00681C3A"/>
    <w:rPr>
      <w:lang w:val="en-GB"/>
    </w:rPr>
  </w:style>
  <w:style w:type="paragraph" w:styleId="ListParagraph">
    <w:name w:val="List Paragraph"/>
    <w:basedOn w:val="Normal"/>
    <w:uiPriority w:val="34"/>
    <w:qFormat/>
    <w:rsid w:val="00681C3A"/>
    <w:pPr>
      <w:ind w:left="720"/>
      <w:contextualSpacing/>
    </w:pPr>
  </w:style>
  <w:style w:type="table" w:styleId="TableGrid">
    <w:name w:val="Table Grid"/>
    <w:basedOn w:val="TableNormal"/>
    <w:uiPriority w:val="59"/>
    <w:rsid w:val="00A95D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2867E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67E5"/>
    <w:rPr>
      <w:rFonts w:asciiTheme="majorHAnsi" w:eastAsiaTheme="majorEastAsia" w:hAnsiTheme="majorHAnsi" w:cstheme="majorBidi"/>
      <w:color w:val="17365D" w:themeColor="text2" w:themeShade="BF"/>
      <w:spacing w:val="5"/>
      <w:kern w:val="28"/>
      <w:sz w:val="52"/>
      <w:szCs w:val="5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1158">
      <w:bodyDiv w:val="1"/>
      <w:marLeft w:val="0"/>
      <w:marRight w:val="0"/>
      <w:marTop w:val="0"/>
      <w:marBottom w:val="0"/>
      <w:divBdr>
        <w:top w:val="none" w:sz="0" w:space="0" w:color="auto"/>
        <w:left w:val="none" w:sz="0" w:space="0" w:color="auto"/>
        <w:bottom w:val="none" w:sz="0" w:space="0" w:color="auto"/>
        <w:right w:val="none" w:sz="0" w:space="0" w:color="auto"/>
      </w:divBdr>
      <w:divsChild>
        <w:div w:id="665667666">
          <w:marLeft w:val="0"/>
          <w:marRight w:val="0"/>
          <w:marTop w:val="0"/>
          <w:marBottom w:val="0"/>
          <w:divBdr>
            <w:top w:val="none" w:sz="0" w:space="0" w:color="auto"/>
            <w:left w:val="none" w:sz="0" w:space="0" w:color="auto"/>
            <w:bottom w:val="none" w:sz="0" w:space="0" w:color="auto"/>
            <w:right w:val="none" w:sz="0" w:space="0" w:color="auto"/>
          </w:divBdr>
          <w:divsChild>
            <w:div w:id="1849637399">
              <w:marLeft w:val="0"/>
              <w:marRight w:val="0"/>
              <w:marTop w:val="0"/>
              <w:marBottom w:val="0"/>
              <w:divBdr>
                <w:top w:val="none" w:sz="0" w:space="0" w:color="auto"/>
                <w:left w:val="none" w:sz="0" w:space="0" w:color="auto"/>
                <w:bottom w:val="none" w:sz="0" w:space="0" w:color="auto"/>
                <w:right w:val="none" w:sz="0" w:space="0" w:color="auto"/>
              </w:divBdr>
              <w:divsChild>
                <w:div w:id="76646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37591">
      <w:bodyDiv w:val="1"/>
      <w:marLeft w:val="0"/>
      <w:marRight w:val="0"/>
      <w:marTop w:val="0"/>
      <w:marBottom w:val="0"/>
      <w:divBdr>
        <w:top w:val="none" w:sz="0" w:space="0" w:color="auto"/>
        <w:left w:val="none" w:sz="0" w:space="0" w:color="auto"/>
        <w:bottom w:val="none" w:sz="0" w:space="0" w:color="auto"/>
        <w:right w:val="none" w:sz="0" w:space="0" w:color="auto"/>
      </w:divBdr>
    </w:div>
    <w:div w:id="80177840">
      <w:bodyDiv w:val="1"/>
      <w:marLeft w:val="0"/>
      <w:marRight w:val="0"/>
      <w:marTop w:val="0"/>
      <w:marBottom w:val="0"/>
      <w:divBdr>
        <w:top w:val="none" w:sz="0" w:space="0" w:color="auto"/>
        <w:left w:val="none" w:sz="0" w:space="0" w:color="auto"/>
        <w:bottom w:val="none" w:sz="0" w:space="0" w:color="auto"/>
        <w:right w:val="none" w:sz="0" w:space="0" w:color="auto"/>
      </w:divBdr>
      <w:divsChild>
        <w:div w:id="757361882">
          <w:marLeft w:val="0"/>
          <w:marRight w:val="0"/>
          <w:marTop w:val="0"/>
          <w:marBottom w:val="0"/>
          <w:divBdr>
            <w:top w:val="none" w:sz="0" w:space="0" w:color="auto"/>
            <w:left w:val="none" w:sz="0" w:space="0" w:color="auto"/>
            <w:bottom w:val="none" w:sz="0" w:space="0" w:color="auto"/>
            <w:right w:val="none" w:sz="0" w:space="0" w:color="auto"/>
          </w:divBdr>
          <w:divsChild>
            <w:div w:id="211550416">
              <w:marLeft w:val="0"/>
              <w:marRight w:val="0"/>
              <w:marTop w:val="0"/>
              <w:marBottom w:val="0"/>
              <w:divBdr>
                <w:top w:val="none" w:sz="0" w:space="0" w:color="auto"/>
                <w:left w:val="none" w:sz="0" w:space="0" w:color="auto"/>
                <w:bottom w:val="none" w:sz="0" w:space="0" w:color="auto"/>
                <w:right w:val="none" w:sz="0" w:space="0" w:color="auto"/>
              </w:divBdr>
              <w:divsChild>
                <w:div w:id="144048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40253">
      <w:bodyDiv w:val="1"/>
      <w:marLeft w:val="0"/>
      <w:marRight w:val="0"/>
      <w:marTop w:val="0"/>
      <w:marBottom w:val="0"/>
      <w:divBdr>
        <w:top w:val="none" w:sz="0" w:space="0" w:color="auto"/>
        <w:left w:val="none" w:sz="0" w:space="0" w:color="auto"/>
        <w:bottom w:val="none" w:sz="0" w:space="0" w:color="auto"/>
        <w:right w:val="none" w:sz="0" w:space="0" w:color="auto"/>
      </w:divBdr>
      <w:divsChild>
        <w:div w:id="1713185648">
          <w:marLeft w:val="0"/>
          <w:marRight w:val="0"/>
          <w:marTop w:val="0"/>
          <w:marBottom w:val="0"/>
          <w:divBdr>
            <w:top w:val="none" w:sz="0" w:space="0" w:color="auto"/>
            <w:left w:val="none" w:sz="0" w:space="0" w:color="auto"/>
            <w:bottom w:val="none" w:sz="0" w:space="0" w:color="auto"/>
            <w:right w:val="none" w:sz="0" w:space="0" w:color="auto"/>
          </w:divBdr>
          <w:divsChild>
            <w:div w:id="1470779874">
              <w:marLeft w:val="0"/>
              <w:marRight w:val="0"/>
              <w:marTop w:val="0"/>
              <w:marBottom w:val="0"/>
              <w:divBdr>
                <w:top w:val="none" w:sz="0" w:space="0" w:color="auto"/>
                <w:left w:val="none" w:sz="0" w:space="0" w:color="auto"/>
                <w:bottom w:val="none" w:sz="0" w:space="0" w:color="auto"/>
                <w:right w:val="none" w:sz="0" w:space="0" w:color="auto"/>
              </w:divBdr>
              <w:divsChild>
                <w:div w:id="187407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056738">
      <w:bodyDiv w:val="1"/>
      <w:marLeft w:val="0"/>
      <w:marRight w:val="0"/>
      <w:marTop w:val="0"/>
      <w:marBottom w:val="0"/>
      <w:divBdr>
        <w:top w:val="none" w:sz="0" w:space="0" w:color="auto"/>
        <w:left w:val="none" w:sz="0" w:space="0" w:color="auto"/>
        <w:bottom w:val="none" w:sz="0" w:space="0" w:color="auto"/>
        <w:right w:val="none" w:sz="0" w:space="0" w:color="auto"/>
      </w:divBdr>
    </w:div>
    <w:div w:id="597719423">
      <w:bodyDiv w:val="1"/>
      <w:marLeft w:val="0"/>
      <w:marRight w:val="0"/>
      <w:marTop w:val="0"/>
      <w:marBottom w:val="0"/>
      <w:divBdr>
        <w:top w:val="none" w:sz="0" w:space="0" w:color="auto"/>
        <w:left w:val="none" w:sz="0" w:space="0" w:color="auto"/>
        <w:bottom w:val="none" w:sz="0" w:space="0" w:color="auto"/>
        <w:right w:val="none" w:sz="0" w:space="0" w:color="auto"/>
      </w:divBdr>
      <w:divsChild>
        <w:div w:id="1919973028">
          <w:marLeft w:val="0"/>
          <w:marRight w:val="0"/>
          <w:marTop w:val="0"/>
          <w:marBottom w:val="0"/>
          <w:divBdr>
            <w:top w:val="none" w:sz="0" w:space="0" w:color="auto"/>
            <w:left w:val="none" w:sz="0" w:space="0" w:color="auto"/>
            <w:bottom w:val="none" w:sz="0" w:space="0" w:color="auto"/>
            <w:right w:val="none" w:sz="0" w:space="0" w:color="auto"/>
          </w:divBdr>
          <w:divsChild>
            <w:div w:id="2020310888">
              <w:marLeft w:val="0"/>
              <w:marRight w:val="0"/>
              <w:marTop w:val="0"/>
              <w:marBottom w:val="0"/>
              <w:divBdr>
                <w:top w:val="none" w:sz="0" w:space="0" w:color="auto"/>
                <w:left w:val="none" w:sz="0" w:space="0" w:color="auto"/>
                <w:bottom w:val="none" w:sz="0" w:space="0" w:color="auto"/>
                <w:right w:val="none" w:sz="0" w:space="0" w:color="auto"/>
              </w:divBdr>
              <w:divsChild>
                <w:div w:id="213759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498870">
      <w:bodyDiv w:val="1"/>
      <w:marLeft w:val="0"/>
      <w:marRight w:val="0"/>
      <w:marTop w:val="0"/>
      <w:marBottom w:val="0"/>
      <w:divBdr>
        <w:top w:val="none" w:sz="0" w:space="0" w:color="auto"/>
        <w:left w:val="none" w:sz="0" w:space="0" w:color="auto"/>
        <w:bottom w:val="none" w:sz="0" w:space="0" w:color="auto"/>
        <w:right w:val="none" w:sz="0" w:space="0" w:color="auto"/>
      </w:divBdr>
      <w:divsChild>
        <w:div w:id="1344746314">
          <w:marLeft w:val="0"/>
          <w:marRight w:val="0"/>
          <w:marTop w:val="0"/>
          <w:marBottom w:val="0"/>
          <w:divBdr>
            <w:top w:val="none" w:sz="0" w:space="0" w:color="auto"/>
            <w:left w:val="none" w:sz="0" w:space="0" w:color="auto"/>
            <w:bottom w:val="none" w:sz="0" w:space="0" w:color="auto"/>
            <w:right w:val="none" w:sz="0" w:space="0" w:color="auto"/>
          </w:divBdr>
          <w:divsChild>
            <w:div w:id="57750330">
              <w:marLeft w:val="0"/>
              <w:marRight w:val="0"/>
              <w:marTop w:val="0"/>
              <w:marBottom w:val="0"/>
              <w:divBdr>
                <w:top w:val="none" w:sz="0" w:space="0" w:color="auto"/>
                <w:left w:val="none" w:sz="0" w:space="0" w:color="auto"/>
                <w:bottom w:val="none" w:sz="0" w:space="0" w:color="auto"/>
                <w:right w:val="none" w:sz="0" w:space="0" w:color="auto"/>
              </w:divBdr>
              <w:divsChild>
                <w:div w:id="190055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517101">
      <w:bodyDiv w:val="1"/>
      <w:marLeft w:val="0"/>
      <w:marRight w:val="0"/>
      <w:marTop w:val="0"/>
      <w:marBottom w:val="0"/>
      <w:divBdr>
        <w:top w:val="none" w:sz="0" w:space="0" w:color="auto"/>
        <w:left w:val="none" w:sz="0" w:space="0" w:color="auto"/>
        <w:bottom w:val="none" w:sz="0" w:space="0" w:color="auto"/>
        <w:right w:val="none" w:sz="0" w:space="0" w:color="auto"/>
      </w:divBdr>
      <w:divsChild>
        <w:div w:id="1186358641">
          <w:marLeft w:val="0"/>
          <w:marRight w:val="0"/>
          <w:marTop w:val="0"/>
          <w:marBottom w:val="0"/>
          <w:divBdr>
            <w:top w:val="none" w:sz="0" w:space="0" w:color="auto"/>
            <w:left w:val="none" w:sz="0" w:space="0" w:color="auto"/>
            <w:bottom w:val="none" w:sz="0" w:space="0" w:color="auto"/>
            <w:right w:val="none" w:sz="0" w:space="0" w:color="auto"/>
          </w:divBdr>
        </w:div>
        <w:div w:id="1170370249">
          <w:marLeft w:val="0"/>
          <w:marRight w:val="0"/>
          <w:marTop w:val="0"/>
          <w:marBottom w:val="0"/>
          <w:divBdr>
            <w:top w:val="none" w:sz="0" w:space="0" w:color="auto"/>
            <w:left w:val="none" w:sz="0" w:space="0" w:color="auto"/>
            <w:bottom w:val="none" w:sz="0" w:space="0" w:color="auto"/>
            <w:right w:val="none" w:sz="0" w:space="0" w:color="auto"/>
          </w:divBdr>
        </w:div>
        <w:div w:id="1000499635">
          <w:marLeft w:val="0"/>
          <w:marRight w:val="0"/>
          <w:marTop w:val="0"/>
          <w:marBottom w:val="0"/>
          <w:divBdr>
            <w:top w:val="none" w:sz="0" w:space="0" w:color="auto"/>
            <w:left w:val="none" w:sz="0" w:space="0" w:color="auto"/>
            <w:bottom w:val="none" w:sz="0" w:space="0" w:color="auto"/>
            <w:right w:val="none" w:sz="0" w:space="0" w:color="auto"/>
          </w:divBdr>
        </w:div>
      </w:divsChild>
    </w:div>
    <w:div w:id="997877767">
      <w:bodyDiv w:val="1"/>
      <w:marLeft w:val="0"/>
      <w:marRight w:val="0"/>
      <w:marTop w:val="0"/>
      <w:marBottom w:val="0"/>
      <w:divBdr>
        <w:top w:val="none" w:sz="0" w:space="0" w:color="auto"/>
        <w:left w:val="none" w:sz="0" w:space="0" w:color="auto"/>
        <w:bottom w:val="none" w:sz="0" w:space="0" w:color="auto"/>
        <w:right w:val="none" w:sz="0" w:space="0" w:color="auto"/>
      </w:divBdr>
      <w:divsChild>
        <w:div w:id="1537156724">
          <w:marLeft w:val="0"/>
          <w:marRight w:val="0"/>
          <w:marTop w:val="0"/>
          <w:marBottom w:val="0"/>
          <w:divBdr>
            <w:top w:val="none" w:sz="0" w:space="0" w:color="auto"/>
            <w:left w:val="none" w:sz="0" w:space="0" w:color="auto"/>
            <w:bottom w:val="none" w:sz="0" w:space="0" w:color="auto"/>
            <w:right w:val="none" w:sz="0" w:space="0" w:color="auto"/>
          </w:divBdr>
          <w:divsChild>
            <w:div w:id="718549865">
              <w:marLeft w:val="0"/>
              <w:marRight w:val="0"/>
              <w:marTop w:val="0"/>
              <w:marBottom w:val="0"/>
              <w:divBdr>
                <w:top w:val="none" w:sz="0" w:space="0" w:color="auto"/>
                <w:left w:val="none" w:sz="0" w:space="0" w:color="auto"/>
                <w:bottom w:val="none" w:sz="0" w:space="0" w:color="auto"/>
                <w:right w:val="none" w:sz="0" w:space="0" w:color="auto"/>
              </w:divBdr>
              <w:divsChild>
                <w:div w:id="7950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086696">
      <w:bodyDiv w:val="1"/>
      <w:marLeft w:val="0"/>
      <w:marRight w:val="0"/>
      <w:marTop w:val="0"/>
      <w:marBottom w:val="0"/>
      <w:divBdr>
        <w:top w:val="none" w:sz="0" w:space="0" w:color="auto"/>
        <w:left w:val="none" w:sz="0" w:space="0" w:color="auto"/>
        <w:bottom w:val="none" w:sz="0" w:space="0" w:color="auto"/>
        <w:right w:val="none" w:sz="0" w:space="0" w:color="auto"/>
      </w:divBdr>
      <w:divsChild>
        <w:div w:id="167063544">
          <w:marLeft w:val="0"/>
          <w:marRight w:val="0"/>
          <w:marTop w:val="0"/>
          <w:marBottom w:val="0"/>
          <w:divBdr>
            <w:top w:val="none" w:sz="0" w:space="0" w:color="auto"/>
            <w:left w:val="none" w:sz="0" w:space="0" w:color="auto"/>
            <w:bottom w:val="none" w:sz="0" w:space="0" w:color="auto"/>
            <w:right w:val="none" w:sz="0" w:space="0" w:color="auto"/>
          </w:divBdr>
          <w:divsChild>
            <w:div w:id="889462856">
              <w:marLeft w:val="0"/>
              <w:marRight w:val="0"/>
              <w:marTop w:val="0"/>
              <w:marBottom w:val="0"/>
              <w:divBdr>
                <w:top w:val="none" w:sz="0" w:space="0" w:color="auto"/>
                <w:left w:val="none" w:sz="0" w:space="0" w:color="auto"/>
                <w:bottom w:val="none" w:sz="0" w:space="0" w:color="auto"/>
                <w:right w:val="none" w:sz="0" w:space="0" w:color="auto"/>
              </w:divBdr>
              <w:divsChild>
                <w:div w:id="56159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545626">
      <w:bodyDiv w:val="1"/>
      <w:marLeft w:val="0"/>
      <w:marRight w:val="0"/>
      <w:marTop w:val="0"/>
      <w:marBottom w:val="0"/>
      <w:divBdr>
        <w:top w:val="none" w:sz="0" w:space="0" w:color="auto"/>
        <w:left w:val="none" w:sz="0" w:space="0" w:color="auto"/>
        <w:bottom w:val="none" w:sz="0" w:space="0" w:color="auto"/>
        <w:right w:val="none" w:sz="0" w:space="0" w:color="auto"/>
      </w:divBdr>
      <w:divsChild>
        <w:div w:id="1137801330">
          <w:marLeft w:val="0"/>
          <w:marRight w:val="0"/>
          <w:marTop w:val="0"/>
          <w:marBottom w:val="0"/>
          <w:divBdr>
            <w:top w:val="none" w:sz="0" w:space="0" w:color="auto"/>
            <w:left w:val="none" w:sz="0" w:space="0" w:color="auto"/>
            <w:bottom w:val="none" w:sz="0" w:space="0" w:color="auto"/>
            <w:right w:val="none" w:sz="0" w:space="0" w:color="auto"/>
          </w:divBdr>
          <w:divsChild>
            <w:div w:id="823282615">
              <w:marLeft w:val="0"/>
              <w:marRight w:val="0"/>
              <w:marTop w:val="0"/>
              <w:marBottom w:val="0"/>
              <w:divBdr>
                <w:top w:val="none" w:sz="0" w:space="0" w:color="auto"/>
                <w:left w:val="none" w:sz="0" w:space="0" w:color="auto"/>
                <w:bottom w:val="none" w:sz="0" w:space="0" w:color="auto"/>
                <w:right w:val="none" w:sz="0" w:space="0" w:color="auto"/>
              </w:divBdr>
              <w:divsChild>
                <w:div w:id="91366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543417">
      <w:bodyDiv w:val="1"/>
      <w:marLeft w:val="0"/>
      <w:marRight w:val="0"/>
      <w:marTop w:val="0"/>
      <w:marBottom w:val="0"/>
      <w:divBdr>
        <w:top w:val="none" w:sz="0" w:space="0" w:color="auto"/>
        <w:left w:val="none" w:sz="0" w:space="0" w:color="auto"/>
        <w:bottom w:val="none" w:sz="0" w:space="0" w:color="auto"/>
        <w:right w:val="none" w:sz="0" w:space="0" w:color="auto"/>
      </w:divBdr>
    </w:div>
    <w:div w:id="1375500475">
      <w:bodyDiv w:val="1"/>
      <w:marLeft w:val="0"/>
      <w:marRight w:val="0"/>
      <w:marTop w:val="0"/>
      <w:marBottom w:val="0"/>
      <w:divBdr>
        <w:top w:val="none" w:sz="0" w:space="0" w:color="auto"/>
        <w:left w:val="none" w:sz="0" w:space="0" w:color="auto"/>
        <w:bottom w:val="none" w:sz="0" w:space="0" w:color="auto"/>
        <w:right w:val="none" w:sz="0" w:space="0" w:color="auto"/>
      </w:divBdr>
      <w:divsChild>
        <w:div w:id="161898918">
          <w:marLeft w:val="0"/>
          <w:marRight w:val="0"/>
          <w:marTop w:val="0"/>
          <w:marBottom w:val="0"/>
          <w:divBdr>
            <w:top w:val="none" w:sz="0" w:space="0" w:color="auto"/>
            <w:left w:val="none" w:sz="0" w:space="0" w:color="auto"/>
            <w:bottom w:val="none" w:sz="0" w:space="0" w:color="auto"/>
            <w:right w:val="none" w:sz="0" w:space="0" w:color="auto"/>
          </w:divBdr>
          <w:divsChild>
            <w:div w:id="796724899">
              <w:marLeft w:val="0"/>
              <w:marRight w:val="0"/>
              <w:marTop w:val="0"/>
              <w:marBottom w:val="0"/>
              <w:divBdr>
                <w:top w:val="none" w:sz="0" w:space="0" w:color="auto"/>
                <w:left w:val="none" w:sz="0" w:space="0" w:color="auto"/>
                <w:bottom w:val="none" w:sz="0" w:space="0" w:color="auto"/>
                <w:right w:val="none" w:sz="0" w:space="0" w:color="auto"/>
              </w:divBdr>
              <w:divsChild>
                <w:div w:id="78631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045475">
      <w:bodyDiv w:val="1"/>
      <w:marLeft w:val="0"/>
      <w:marRight w:val="0"/>
      <w:marTop w:val="0"/>
      <w:marBottom w:val="0"/>
      <w:divBdr>
        <w:top w:val="none" w:sz="0" w:space="0" w:color="auto"/>
        <w:left w:val="none" w:sz="0" w:space="0" w:color="auto"/>
        <w:bottom w:val="none" w:sz="0" w:space="0" w:color="auto"/>
        <w:right w:val="none" w:sz="0" w:space="0" w:color="auto"/>
      </w:divBdr>
      <w:divsChild>
        <w:div w:id="249048590">
          <w:marLeft w:val="0"/>
          <w:marRight w:val="0"/>
          <w:marTop w:val="0"/>
          <w:marBottom w:val="0"/>
          <w:divBdr>
            <w:top w:val="none" w:sz="0" w:space="0" w:color="auto"/>
            <w:left w:val="none" w:sz="0" w:space="0" w:color="auto"/>
            <w:bottom w:val="none" w:sz="0" w:space="0" w:color="auto"/>
            <w:right w:val="none" w:sz="0" w:space="0" w:color="auto"/>
          </w:divBdr>
        </w:div>
        <w:div w:id="1599555830">
          <w:marLeft w:val="0"/>
          <w:marRight w:val="0"/>
          <w:marTop w:val="0"/>
          <w:marBottom w:val="0"/>
          <w:divBdr>
            <w:top w:val="none" w:sz="0" w:space="0" w:color="auto"/>
            <w:left w:val="none" w:sz="0" w:space="0" w:color="auto"/>
            <w:bottom w:val="none" w:sz="0" w:space="0" w:color="auto"/>
            <w:right w:val="none" w:sz="0" w:space="0" w:color="auto"/>
          </w:divBdr>
        </w:div>
        <w:div w:id="392971321">
          <w:marLeft w:val="0"/>
          <w:marRight w:val="0"/>
          <w:marTop w:val="0"/>
          <w:marBottom w:val="0"/>
          <w:divBdr>
            <w:top w:val="none" w:sz="0" w:space="0" w:color="auto"/>
            <w:left w:val="none" w:sz="0" w:space="0" w:color="auto"/>
            <w:bottom w:val="none" w:sz="0" w:space="0" w:color="auto"/>
            <w:right w:val="none" w:sz="0" w:space="0" w:color="auto"/>
          </w:divBdr>
        </w:div>
      </w:divsChild>
    </w:div>
    <w:div w:id="1495686608">
      <w:bodyDiv w:val="1"/>
      <w:marLeft w:val="0"/>
      <w:marRight w:val="0"/>
      <w:marTop w:val="0"/>
      <w:marBottom w:val="0"/>
      <w:divBdr>
        <w:top w:val="none" w:sz="0" w:space="0" w:color="auto"/>
        <w:left w:val="none" w:sz="0" w:space="0" w:color="auto"/>
        <w:bottom w:val="none" w:sz="0" w:space="0" w:color="auto"/>
        <w:right w:val="none" w:sz="0" w:space="0" w:color="auto"/>
      </w:divBdr>
      <w:divsChild>
        <w:div w:id="1664624198">
          <w:marLeft w:val="0"/>
          <w:marRight w:val="0"/>
          <w:marTop w:val="0"/>
          <w:marBottom w:val="0"/>
          <w:divBdr>
            <w:top w:val="none" w:sz="0" w:space="0" w:color="auto"/>
            <w:left w:val="none" w:sz="0" w:space="0" w:color="auto"/>
            <w:bottom w:val="none" w:sz="0" w:space="0" w:color="auto"/>
            <w:right w:val="none" w:sz="0" w:space="0" w:color="auto"/>
          </w:divBdr>
          <w:divsChild>
            <w:div w:id="663052644">
              <w:marLeft w:val="0"/>
              <w:marRight w:val="0"/>
              <w:marTop w:val="0"/>
              <w:marBottom w:val="0"/>
              <w:divBdr>
                <w:top w:val="none" w:sz="0" w:space="0" w:color="auto"/>
                <w:left w:val="none" w:sz="0" w:space="0" w:color="auto"/>
                <w:bottom w:val="none" w:sz="0" w:space="0" w:color="auto"/>
                <w:right w:val="none" w:sz="0" w:space="0" w:color="auto"/>
              </w:divBdr>
              <w:divsChild>
                <w:div w:id="68741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645436">
      <w:bodyDiv w:val="1"/>
      <w:marLeft w:val="0"/>
      <w:marRight w:val="0"/>
      <w:marTop w:val="0"/>
      <w:marBottom w:val="0"/>
      <w:divBdr>
        <w:top w:val="none" w:sz="0" w:space="0" w:color="auto"/>
        <w:left w:val="none" w:sz="0" w:space="0" w:color="auto"/>
        <w:bottom w:val="none" w:sz="0" w:space="0" w:color="auto"/>
        <w:right w:val="none" w:sz="0" w:space="0" w:color="auto"/>
      </w:divBdr>
      <w:divsChild>
        <w:div w:id="1314722292">
          <w:marLeft w:val="0"/>
          <w:marRight w:val="0"/>
          <w:marTop w:val="0"/>
          <w:marBottom w:val="0"/>
          <w:divBdr>
            <w:top w:val="none" w:sz="0" w:space="0" w:color="auto"/>
            <w:left w:val="none" w:sz="0" w:space="0" w:color="auto"/>
            <w:bottom w:val="none" w:sz="0" w:space="0" w:color="auto"/>
            <w:right w:val="none" w:sz="0" w:space="0" w:color="auto"/>
          </w:divBdr>
          <w:divsChild>
            <w:div w:id="442455455">
              <w:marLeft w:val="0"/>
              <w:marRight w:val="0"/>
              <w:marTop w:val="0"/>
              <w:marBottom w:val="0"/>
              <w:divBdr>
                <w:top w:val="none" w:sz="0" w:space="0" w:color="auto"/>
                <w:left w:val="none" w:sz="0" w:space="0" w:color="auto"/>
                <w:bottom w:val="none" w:sz="0" w:space="0" w:color="auto"/>
                <w:right w:val="none" w:sz="0" w:space="0" w:color="auto"/>
              </w:divBdr>
              <w:divsChild>
                <w:div w:id="59552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702009">
      <w:bodyDiv w:val="1"/>
      <w:marLeft w:val="0"/>
      <w:marRight w:val="0"/>
      <w:marTop w:val="0"/>
      <w:marBottom w:val="0"/>
      <w:divBdr>
        <w:top w:val="none" w:sz="0" w:space="0" w:color="auto"/>
        <w:left w:val="none" w:sz="0" w:space="0" w:color="auto"/>
        <w:bottom w:val="none" w:sz="0" w:space="0" w:color="auto"/>
        <w:right w:val="none" w:sz="0" w:space="0" w:color="auto"/>
      </w:divBdr>
      <w:divsChild>
        <w:div w:id="815608925">
          <w:marLeft w:val="0"/>
          <w:marRight w:val="0"/>
          <w:marTop w:val="0"/>
          <w:marBottom w:val="0"/>
          <w:divBdr>
            <w:top w:val="none" w:sz="0" w:space="0" w:color="auto"/>
            <w:left w:val="none" w:sz="0" w:space="0" w:color="auto"/>
            <w:bottom w:val="none" w:sz="0" w:space="0" w:color="auto"/>
            <w:right w:val="none" w:sz="0" w:space="0" w:color="auto"/>
          </w:divBdr>
          <w:divsChild>
            <w:div w:id="1923953362">
              <w:marLeft w:val="0"/>
              <w:marRight w:val="0"/>
              <w:marTop w:val="0"/>
              <w:marBottom w:val="0"/>
              <w:divBdr>
                <w:top w:val="none" w:sz="0" w:space="0" w:color="auto"/>
                <w:left w:val="none" w:sz="0" w:space="0" w:color="auto"/>
                <w:bottom w:val="none" w:sz="0" w:space="0" w:color="auto"/>
                <w:right w:val="none" w:sz="0" w:space="0" w:color="auto"/>
              </w:divBdr>
              <w:divsChild>
                <w:div w:id="79661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723558">
      <w:bodyDiv w:val="1"/>
      <w:marLeft w:val="0"/>
      <w:marRight w:val="0"/>
      <w:marTop w:val="0"/>
      <w:marBottom w:val="0"/>
      <w:divBdr>
        <w:top w:val="none" w:sz="0" w:space="0" w:color="auto"/>
        <w:left w:val="none" w:sz="0" w:space="0" w:color="auto"/>
        <w:bottom w:val="none" w:sz="0" w:space="0" w:color="auto"/>
        <w:right w:val="none" w:sz="0" w:space="0" w:color="auto"/>
      </w:divBdr>
      <w:divsChild>
        <w:div w:id="796415348">
          <w:marLeft w:val="0"/>
          <w:marRight w:val="0"/>
          <w:marTop w:val="0"/>
          <w:marBottom w:val="0"/>
          <w:divBdr>
            <w:top w:val="none" w:sz="0" w:space="0" w:color="auto"/>
            <w:left w:val="none" w:sz="0" w:space="0" w:color="auto"/>
            <w:bottom w:val="none" w:sz="0" w:space="0" w:color="auto"/>
            <w:right w:val="none" w:sz="0" w:space="0" w:color="auto"/>
          </w:divBdr>
          <w:divsChild>
            <w:div w:id="1478297822">
              <w:marLeft w:val="0"/>
              <w:marRight w:val="0"/>
              <w:marTop w:val="0"/>
              <w:marBottom w:val="0"/>
              <w:divBdr>
                <w:top w:val="none" w:sz="0" w:space="0" w:color="auto"/>
                <w:left w:val="none" w:sz="0" w:space="0" w:color="auto"/>
                <w:bottom w:val="none" w:sz="0" w:space="0" w:color="auto"/>
                <w:right w:val="none" w:sz="0" w:space="0" w:color="auto"/>
              </w:divBdr>
              <w:divsChild>
                <w:div w:id="113151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793525">
      <w:bodyDiv w:val="1"/>
      <w:marLeft w:val="0"/>
      <w:marRight w:val="0"/>
      <w:marTop w:val="0"/>
      <w:marBottom w:val="0"/>
      <w:divBdr>
        <w:top w:val="none" w:sz="0" w:space="0" w:color="auto"/>
        <w:left w:val="none" w:sz="0" w:space="0" w:color="auto"/>
        <w:bottom w:val="none" w:sz="0" w:space="0" w:color="auto"/>
        <w:right w:val="none" w:sz="0" w:space="0" w:color="auto"/>
      </w:divBdr>
      <w:divsChild>
        <w:div w:id="1801923026">
          <w:marLeft w:val="0"/>
          <w:marRight w:val="0"/>
          <w:marTop w:val="0"/>
          <w:marBottom w:val="0"/>
          <w:divBdr>
            <w:top w:val="none" w:sz="0" w:space="0" w:color="auto"/>
            <w:left w:val="none" w:sz="0" w:space="0" w:color="auto"/>
            <w:bottom w:val="none" w:sz="0" w:space="0" w:color="auto"/>
            <w:right w:val="none" w:sz="0" w:space="0" w:color="auto"/>
          </w:divBdr>
          <w:divsChild>
            <w:div w:id="1617250909">
              <w:marLeft w:val="0"/>
              <w:marRight w:val="0"/>
              <w:marTop w:val="0"/>
              <w:marBottom w:val="0"/>
              <w:divBdr>
                <w:top w:val="none" w:sz="0" w:space="0" w:color="auto"/>
                <w:left w:val="none" w:sz="0" w:space="0" w:color="auto"/>
                <w:bottom w:val="none" w:sz="0" w:space="0" w:color="auto"/>
                <w:right w:val="none" w:sz="0" w:space="0" w:color="auto"/>
              </w:divBdr>
              <w:divsChild>
                <w:div w:id="156965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4123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1426</TotalTime>
  <Pages>7</Pages>
  <Words>2017</Words>
  <Characters>11503</Characters>
  <Application>Microsoft Macintosh Word</Application>
  <DocSecurity>0</DocSecurity>
  <Lines>95</Lines>
  <Paragraphs>26</Paragraphs>
  <ScaleCrop>false</ScaleCrop>
  <Company/>
  <LinksUpToDate>false</LinksUpToDate>
  <CharactersWithSpaces>13494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Umar</dc:creator>
  <cp:keywords/>
  <dc:description/>
  <cp:lastModifiedBy>Muhammad Umar</cp:lastModifiedBy>
  <cp:revision>9</cp:revision>
  <cp:lastPrinted>2014-10-31T22:40:00Z</cp:lastPrinted>
  <dcterms:created xsi:type="dcterms:W3CDTF">2014-10-23T20:15:00Z</dcterms:created>
  <dcterms:modified xsi:type="dcterms:W3CDTF">2014-11-08T10:58:00Z</dcterms:modified>
</cp:coreProperties>
</file>